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5D4F" w:rsidRDefault="0023355C" w:rsidP="00C6317E">
      <w:pPr>
        <w:jc w:val="right"/>
        <w:rPr>
          <w:b/>
          <w:bCs/>
          <w:caps/>
          <w:sz w:val="28"/>
          <w:szCs w:val="28"/>
          <w:lang w:val="cs-CZ"/>
        </w:rPr>
      </w:pPr>
      <w:r>
        <w:rPr>
          <w:b/>
          <w:bCs/>
          <w:caps/>
          <w:noProof/>
          <w:sz w:val="28"/>
          <w:szCs w:val="28"/>
          <w:lang w:val="cs-CZ" w:eastAsia="cs-CZ"/>
        </w:rPr>
        <w:drawing>
          <wp:inline distT="0" distB="0" distL="0" distR="0">
            <wp:extent cx="1880235" cy="387985"/>
            <wp:effectExtent l="0" t="0" r="5715"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235" cy="387985"/>
                    </a:xfrm>
                    <a:prstGeom prst="rect">
                      <a:avLst/>
                    </a:prstGeom>
                    <a:solidFill>
                      <a:srgbClr val="FFFFFF"/>
                    </a:solidFill>
                    <a:ln>
                      <a:noFill/>
                    </a:ln>
                  </pic:spPr>
                </pic:pic>
              </a:graphicData>
            </a:graphic>
          </wp:inline>
        </w:drawing>
      </w:r>
      <w:r w:rsidR="00975D4F">
        <w:rPr>
          <w:b/>
          <w:bCs/>
          <w:caps/>
          <w:sz w:val="28"/>
          <w:szCs w:val="28"/>
          <w:lang w:val="cs-CZ"/>
        </w:rPr>
        <w:t xml:space="preserve"> </w:t>
      </w:r>
      <w:r w:rsidR="00975D4F">
        <w:rPr>
          <w:b/>
          <w:bCs/>
          <w:caps/>
          <w:sz w:val="28"/>
          <w:szCs w:val="28"/>
          <w:lang w:val="cs-CZ"/>
        </w:rPr>
        <w:tab/>
      </w:r>
      <w:r w:rsidR="00C6317E">
        <w:rPr>
          <w:noProof/>
        </w:rPr>
        <w:drawing>
          <wp:inline distT="0" distB="0" distL="0" distR="0" wp14:anchorId="7ACFAA76" wp14:editId="0BCB68C2">
            <wp:extent cx="2268000" cy="543600"/>
            <wp:effectExtent l="0" t="0" r="0" b="889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rotWithShape="1">
                    <a:blip r:embed="rId9" cstate="print">
                      <a:extLst>
                        <a:ext uri="{28A0092B-C50C-407E-A947-70E740481C1C}">
                          <a14:useLocalDpi xmlns:a14="http://schemas.microsoft.com/office/drawing/2010/main" val="0"/>
                        </a:ext>
                      </a:extLst>
                    </a:blip>
                    <a:srcRect t="29529" r="2857" b="19466"/>
                    <a:stretch/>
                  </pic:blipFill>
                  <pic:spPr bwMode="auto">
                    <a:xfrm>
                      <a:off x="0" y="0"/>
                      <a:ext cx="2268000" cy="543600"/>
                    </a:xfrm>
                    <a:prstGeom prst="rect">
                      <a:avLst/>
                    </a:prstGeom>
                    <a:ln>
                      <a:noFill/>
                    </a:ln>
                    <a:extLst>
                      <a:ext uri="{53640926-AAD7-44D8-BBD7-CCE9431645EC}">
                        <a14:shadowObscured xmlns:a14="http://schemas.microsoft.com/office/drawing/2010/main"/>
                      </a:ext>
                    </a:extLst>
                  </pic:spPr>
                </pic:pic>
              </a:graphicData>
            </a:graphic>
          </wp:inline>
        </w:drawing>
      </w:r>
      <w:r w:rsidR="00975D4F">
        <w:rPr>
          <w:b/>
          <w:bCs/>
          <w:caps/>
          <w:sz w:val="28"/>
          <w:szCs w:val="28"/>
          <w:lang w:val="cs-CZ"/>
        </w:rPr>
        <w:t xml:space="preserve">        </w:t>
      </w:r>
      <w:r w:rsidR="00975D4F">
        <w:rPr>
          <w:b/>
          <w:bCs/>
          <w:caps/>
          <w:sz w:val="28"/>
          <w:szCs w:val="28"/>
          <w:lang w:val="cs-CZ"/>
        </w:rPr>
        <w:tab/>
      </w:r>
      <w:r w:rsidR="00975D4F">
        <w:rPr>
          <w:b/>
          <w:bCs/>
          <w:caps/>
          <w:sz w:val="28"/>
          <w:szCs w:val="28"/>
          <w:lang w:val="cs-CZ"/>
        </w:rPr>
        <w:tab/>
        <w:t xml:space="preserve">          </w:t>
      </w:r>
      <w:r w:rsidR="00975D4F">
        <w:rPr>
          <w:b/>
          <w:bCs/>
          <w:caps/>
          <w:sz w:val="28"/>
          <w:szCs w:val="28"/>
          <w:lang w:val="cs-CZ"/>
        </w:rPr>
        <w:tab/>
      </w:r>
    </w:p>
    <w:p w:rsidR="00975D4F" w:rsidRDefault="00975D4F">
      <w:pPr>
        <w:jc w:val="center"/>
        <w:rPr>
          <w:b/>
          <w:bCs/>
          <w:caps/>
          <w:sz w:val="28"/>
          <w:szCs w:val="28"/>
          <w:lang w:val="cs-CZ"/>
        </w:rPr>
      </w:pPr>
    </w:p>
    <w:p w:rsidR="00975D4F" w:rsidRDefault="00975D4F">
      <w:pPr>
        <w:jc w:val="center"/>
        <w:rPr>
          <w:b/>
          <w:bCs/>
          <w:sz w:val="24"/>
          <w:szCs w:val="24"/>
          <w:lang w:val="cs-CZ"/>
        </w:rPr>
      </w:pPr>
      <w:r>
        <w:rPr>
          <w:b/>
          <w:sz w:val="28"/>
          <w:szCs w:val="28"/>
          <w:lang w:val="en-GB"/>
        </w:rPr>
        <w:t>Grant agreement for Erasmus+ studies within Programme Countries</w:t>
      </w:r>
    </w:p>
    <w:p w:rsidR="00975D4F" w:rsidRDefault="00211457">
      <w:pPr>
        <w:jc w:val="center"/>
        <w:rPr>
          <w:bCs/>
          <w:shd w:val="clear" w:color="auto" w:fill="FFFF00"/>
          <w:lang w:val="en-GB"/>
        </w:rPr>
      </w:pPr>
      <w:r>
        <w:rPr>
          <w:b/>
          <w:bCs/>
          <w:sz w:val="24"/>
          <w:szCs w:val="24"/>
          <w:lang w:val="cs-CZ"/>
        </w:rPr>
        <w:t>No. 201</w:t>
      </w:r>
      <w:r w:rsidR="00C356D2">
        <w:rPr>
          <w:b/>
          <w:bCs/>
          <w:sz w:val="24"/>
          <w:szCs w:val="24"/>
          <w:lang w:val="cs-CZ"/>
        </w:rPr>
        <w:t>9-2020</w:t>
      </w:r>
      <w:r w:rsidR="009B371A">
        <w:rPr>
          <w:b/>
          <w:bCs/>
          <w:sz w:val="24"/>
          <w:szCs w:val="24"/>
          <w:lang w:val="cs-CZ"/>
        </w:rPr>
        <w:t>/</w:t>
      </w:r>
      <w:r w:rsidR="008A2AAE">
        <w:rPr>
          <w:b/>
          <w:bCs/>
          <w:sz w:val="24"/>
          <w:szCs w:val="24"/>
          <w:lang w:val="cs-CZ"/>
        </w:rPr>
        <w:t>+</w:t>
      </w:r>
    </w:p>
    <w:p w:rsidR="00975D4F" w:rsidRPr="00F7787E" w:rsidRDefault="00975D4F" w:rsidP="00F7787E">
      <w:pPr>
        <w:jc w:val="center"/>
      </w:pPr>
      <w:r w:rsidRPr="00F7787E">
        <w:t xml:space="preserve">entered into under Section 1746 (2) of Act No. 89/2012 Coll., Civil Code, as </w:t>
      </w:r>
      <w:r w:rsidR="00436388">
        <w:t>amended</w:t>
      </w:r>
    </w:p>
    <w:p w:rsidR="00975D4F" w:rsidRDefault="00975D4F">
      <w:pPr>
        <w:jc w:val="center"/>
        <w:rPr>
          <w:rFonts w:ascii="Arial" w:hAnsi="Arial" w:cs="Arial"/>
          <w:bCs/>
          <w:lang w:val="cs-CZ"/>
        </w:rPr>
      </w:pPr>
    </w:p>
    <w:p w:rsidR="00975D4F" w:rsidRDefault="00975D4F">
      <w:pPr>
        <w:rPr>
          <w:rFonts w:ascii="Arial" w:hAnsi="Arial" w:cs="Arial"/>
          <w:sz w:val="22"/>
          <w:szCs w:val="24"/>
          <w:lang w:val="cs-CZ"/>
        </w:rPr>
      </w:pPr>
    </w:p>
    <w:p w:rsidR="00975D4F" w:rsidRDefault="00975D4F">
      <w:pPr>
        <w:pBdr>
          <w:bottom w:val="single" w:sz="4" w:space="1" w:color="000000"/>
        </w:pBdr>
        <w:rPr>
          <w:lang w:val="cs-CZ"/>
        </w:rPr>
      </w:pPr>
      <w:r>
        <w:rPr>
          <w:b/>
          <w:sz w:val="24"/>
          <w:szCs w:val="24"/>
          <w:lang w:val="cs-CZ"/>
        </w:rPr>
        <w:t>Palacký University, Olomouc</w:t>
      </w:r>
      <w:r w:rsidR="00C00D3E">
        <w:rPr>
          <w:sz w:val="24"/>
          <w:szCs w:val="24"/>
          <w:lang w:val="cs-CZ"/>
        </w:rPr>
        <w:t>, ID code</w:t>
      </w:r>
      <w:r>
        <w:rPr>
          <w:sz w:val="24"/>
          <w:szCs w:val="24"/>
          <w:lang w:val="cs-CZ"/>
        </w:rPr>
        <w:t>: CZ OLOMOUC01</w:t>
      </w:r>
    </w:p>
    <w:p w:rsidR="00975D4F" w:rsidRDefault="00975D4F">
      <w:pPr>
        <w:rPr>
          <w:lang w:val="en-GB"/>
        </w:rPr>
      </w:pPr>
      <w:r>
        <w:rPr>
          <w:lang w:val="cs-CZ"/>
        </w:rPr>
        <w:t>Address: Křížkovského 8, 771 47 Olomouc, Czech Republic</w:t>
      </w:r>
    </w:p>
    <w:p w:rsidR="00975D4F" w:rsidRDefault="00975D4F">
      <w:pPr>
        <w:rPr>
          <w:lang w:val="cs-CZ"/>
        </w:rPr>
      </w:pPr>
      <w:r>
        <w:rPr>
          <w:lang w:val="en-GB"/>
        </w:rPr>
        <w:t>Called hereafter “the institution”,</w:t>
      </w:r>
      <w:r>
        <w:rPr>
          <w:lang w:val="en-US"/>
        </w:rPr>
        <w:t xml:space="preserve"> </w:t>
      </w:r>
    </w:p>
    <w:p w:rsidR="00975D4F" w:rsidRDefault="00975D4F">
      <w:pPr>
        <w:rPr>
          <w:lang w:val="en-US"/>
        </w:rPr>
      </w:pPr>
      <w:r>
        <w:rPr>
          <w:lang w:val="cs-CZ"/>
        </w:rPr>
        <w:t xml:space="preserve">represented for the purposes of signature of this agreement by </w:t>
      </w:r>
      <w:r w:rsidR="00C356D2">
        <w:rPr>
          <w:lang w:val="cs-CZ"/>
        </w:rPr>
        <w:t>Lenka Haničáková</w:t>
      </w:r>
      <w:r>
        <w:rPr>
          <w:szCs w:val="24"/>
          <w:lang w:val="en-GB"/>
        </w:rPr>
        <w:t xml:space="preserve">, </w:t>
      </w:r>
      <w:r w:rsidRPr="00F7787E">
        <w:t>authorized representative,</w:t>
      </w:r>
      <w:r>
        <w:rPr>
          <w:szCs w:val="24"/>
          <w:lang w:val="en-GB"/>
        </w:rPr>
        <w:t xml:space="preserve"> </w:t>
      </w:r>
      <w:r>
        <w:rPr>
          <w:lang w:val="en-US"/>
        </w:rPr>
        <w:t xml:space="preserve">of the one part, </w:t>
      </w:r>
    </w:p>
    <w:p w:rsidR="00975D4F" w:rsidRDefault="00975D4F">
      <w:pPr>
        <w:rPr>
          <w:lang w:val="en-US"/>
        </w:rPr>
      </w:pPr>
    </w:p>
    <w:p w:rsidR="00975D4F" w:rsidRDefault="00975D4F">
      <w:pPr>
        <w:rPr>
          <w:rFonts w:ascii="Arial" w:hAnsi="Arial" w:cs="Arial"/>
          <w:sz w:val="24"/>
          <w:szCs w:val="24"/>
          <w:lang w:val="en-US"/>
        </w:rPr>
      </w:pPr>
      <w:r>
        <w:rPr>
          <w:lang w:val="en-US"/>
        </w:rPr>
        <w:t>and</w:t>
      </w:r>
    </w:p>
    <w:p w:rsidR="00975D4F" w:rsidRDefault="00975D4F">
      <w:pPr>
        <w:rPr>
          <w:rFonts w:ascii="Arial" w:hAnsi="Arial" w:cs="Arial"/>
          <w:sz w:val="24"/>
          <w:szCs w:val="24"/>
          <w:lang w:val="en-US"/>
        </w:rPr>
      </w:pPr>
    </w:p>
    <w:p w:rsidR="0047057B" w:rsidRDefault="0047057B" w:rsidP="0047057B">
      <w:pPr>
        <w:pBdr>
          <w:bottom w:val="single" w:sz="4" w:space="1" w:color="000000"/>
        </w:pBdr>
        <w:rPr>
          <w:lang w:val="en-GB"/>
        </w:rPr>
      </w:pPr>
      <w:r>
        <w:rPr>
          <w:b/>
          <w:sz w:val="24"/>
          <w:szCs w:val="24"/>
          <w:lang w:val="en-US"/>
        </w:rPr>
        <w:t xml:space="preserve">Mr. </w:t>
      </w:r>
      <w:r w:rsidR="007A692E">
        <w:rPr>
          <w:b/>
          <w:sz w:val="24"/>
          <w:szCs w:val="24"/>
          <w:lang w:val="en-US"/>
        </w:rPr>
        <w:t>/Mrs.</w:t>
      </w:r>
    </w:p>
    <w:p w:rsidR="002C0BB2" w:rsidRDefault="0047057B" w:rsidP="0047057B">
      <w:pPr>
        <w:rPr>
          <w:lang w:val="en-GB"/>
        </w:rPr>
      </w:pPr>
      <w:r w:rsidRPr="001E4C76">
        <w:rPr>
          <w:lang w:val="en-GB"/>
        </w:rPr>
        <w:t>Date of birth:</w:t>
      </w:r>
      <w:r w:rsidRPr="001E4C76">
        <w:rPr>
          <w:lang w:val="en-GB"/>
        </w:rPr>
        <w:tab/>
      </w:r>
      <w:r w:rsidRPr="001E4C76">
        <w:rPr>
          <w:lang w:val="en-GB"/>
        </w:rPr>
        <w:tab/>
      </w:r>
      <w:r>
        <w:rPr>
          <w:lang w:val="en-GB"/>
        </w:rPr>
        <w:tab/>
      </w:r>
      <w:r w:rsidR="002C0BB2">
        <w:rPr>
          <w:lang w:val="en-GB"/>
        </w:rPr>
        <w:tab/>
      </w:r>
    </w:p>
    <w:p w:rsidR="008A2AAE" w:rsidRDefault="0047057B" w:rsidP="0047057B">
      <w:pPr>
        <w:rPr>
          <w:lang w:val="en-GB"/>
        </w:rPr>
      </w:pPr>
      <w:r w:rsidRPr="001E4C76">
        <w:rPr>
          <w:lang w:val="en-GB"/>
        </w:rPr>
        <w:t xml:space="preserve">Nationality:  </w:t>
      </w:r>
    </w:p>
    <w:p w:rsidR="008A2AAE" w:rsidRDefault="0047057B" w:rsidP="0047057B">
      <w:pPr>
        <w:rPr>
          <w:lang w:val="en-GB"/>
        </w:rPr>
      </w:pPr>
      <w:r w:rsidRPr="001E4C76">
        <w:rPr>
          <w:lang w:val="en-GB"/>
        </w:rPr>
        <w:t>Address:</w:t>
      </w:r>
      <w:r w:rsidRPr="001E4C76">
        <w:rPr>
          <w:lang w:val="en-GB"/>
        </w:rPr>
        <w:tab/>
        <w:t xml:space="preserve"> </w:t>
      </w:r>
    </w:p>
    <w:p w:rsidR="002C0BB2" w:rsidRDefault="0047057B" w:rsidP="0047057B">
      <w:pPr>
        <w:rPr>
          <w:lang w:val="en-GB"/>
        </w:rPr>
      </w:pPr>
      <w:r w:rsidRPr="00C64907">
        <w:rPr>
          <w:lang w:val="en-GB"/>
        </w:rPr>
        <w:t>Telephone:</w:t>
      </w:r>
      <w:r w:rsidRPr="001E4C76">
        <w:rPr>
          <w:lang w:val="en-GB"/>
        </w:rPr>
        <w:tab/>
      </w:r>
      <w:r w:rsidRPr="001E4C76">
        <w:rPr>
          <w:lang w:val="en-GB"/>
        </w:rPr>
        <w:tab/>
      </w:r>
    </w:p>
    <w:p w:rsidR="008A2AAE" w:rsidRDefault="0047057B" w:rsidP="0047057B">
      <w:pPr>
        <w:rPr>
          <w:lang w:val="en-GB"/>
        </w:rPr>
      </w:pPr>
      <w:r w:rsidRPr="001E4C76">
        <w:rPr>
          <w:lang w:val="en-GB"/>
        </w:rPr>
        <w:t xml:space="preserve">E-mail: </w:t>
      </w:r>
    </w:p>
    <w:p w:rsidR="0047057B" w:rsidRPr="007F5E19" w:rsidRDefault="0047057B" w:rsidP="0047057B">
      <w:pPr>
        <w:rPr>
          <w:lang w:val="en-GB"/>
        </w:rPr>
      </w:pPr>
      <w:r>
        <w:rPr>
          <w:lang w:val="en-GB"/>
        </w:rPr>
        <w:t>Sex:</w:t>
      </w:r>
      <w:r w:rsidRPr="007F5E19">
        <w:rPr>
          <w:lang w:val="en-GB"/>
        </w:rPr>
        <w:tab/>
      </w:r>
      <w:r w:rsidRPr="007F5E19">
        <w:rPr>
          <w:lang w:val="en-GB"/>
        </w:rPr>
        <w:tab/>
      </w:r>
      <w:r w:rsidRPr="007F5E19">
        <w:rPr>
          <w:lang w:val="en-GB"/>
        </w:rPr>
        <w:tab/>
      </w:r>
    </w:p>
    <w:p w:rsidR="008A2AAE" w:rsidRDefault="0047057B" w:rsidP="0047057B">
      <w:pPr>
        <w:rPr>
          <w:lang w:val="en-GB"/>
        </w:rPr>
      </w:pPr>
      <w:r w:rsidRPr="007F5E19">
        <w:rPr>
          <w:lang w:val="en-GB"/>
        </w:rPr>
        <w:t xml:space="preserve">Study cycle: </w:t>
      </w:r>
    </w:p>
    <w:p w:rsidR="002C0BB2" w:rsidRDefault="0047057B" w:rsidP="0047057B">
      <w:pPr>
        <w:rPr>
          <w:lang w:val="en-GB"/>
        </w:rPr>
      </w:pPr>
      <w:r w:rsidRPr="007F5E19">
        <w:rPr>
          <w:lang w:val="en-GB"/>
        </w:rPr>
        <w:t>Subject area</w:t>
      </w:r>
      <w:r w:rsidRPr="00C356D2">
        <w:rPr>
          <w:lang w:val="en-GB"/>
        </w:rPr>
        <w:t>:</w:t>
      </w:r>
      <w:r w:rsidRPr="007F5E19">
        <w:rPr>
          <w:lang w:val="en-GB"/>
        </w:rPr>
        <w:tab/>
      </w:r>
      <w:r w:rsidRPr="007F5E19">
        <w:rPr>
          <w:lang w:val="en-GB"/>
        </w:rPr>
        <w:tab/>
      </w:r>
      <w:r w:rsidR="002C0BB2">
        <w:rPr>
          <w:lang w:val="en-GB"/>
        </w:rPr>
        <w:tab/>
      </w:r>
    </w:p>
    <w:p w:rsidR="008A2AAE" w:rsidRDefault="0047057B" w:rsidP="0047057B">
      <w:pPr>
        <w:rPr>
          <w:lang w:val="en-GB"/>
        </w:rPr>
      </w:pPr>
      <w:r w:rsidRPr="007F5E19">
        <w:rPr>
          <w:lang w:val="en-GB"/>
        </w:rPr>
        <w:t xml:space="preserve">Subject area code: </w:t>
      </w:r>
    </w:p>
    <w:p w:rsidR="0047057B" w:rsidRPr="007F5E19" w:rsidRDefault="0047057B" w:rsidP="0047057B">
      <w:pPr>
        <w:rPr>
          <w:lang w:val="en-GB"/>
        </w:rPr>
      </w:pPr>
      <w:r w:rsidRPr="007F5E19">
        <w:rPr>
          <w:lang w:val="en-GB"/>
        </w:rPr>
        <w:t xml:space="preserve">Number of completed higher education study years: </w:t>
      </w:r>
    </w:p>
    <w:p w:rsidR="00975D4F" w:rsidRDefault="00975D4F">
      <w:pPr>
        <w:rPr>
          <w:lang w:val="en-GB"/>
        </w:rPr>
      </w:pPr>
    </w:p>
    <w:p w:rsidR="00975D4F" w:rsidRDefault="00975D4F">
      <w:pPr>
        <w:tabs>
          <w:tab w:val="left" w:pos="2552"/>
        </w:tabs>
      </w:pPr>
      <w:r>
        <w:rPr>
          <w:lang w:val="en-GB"/>
        </w:rPr>
        <w:t xml:space="preserve">Student with:     </w:t>
      </w:r>
      <w:r>
        <w:rPr>
          <w:lang w:val="en-GB"/>
        </w:rPr>
        <w:tab/>
        <w:t xml:space="preserve">a financial support from </w:t>
      </w:r>
      <w:r w:rsidR="00C00D3E">
        <w:rPr>
          <w:lang w:val="en-GB"/>
        </w:rPr>
        <w:t xml:space="preserve">Erasmus+ </w:t>
      </w:r>
      <w:r>
        <w:rPr>
          <w:lang w:val="en-GB"/>
        </w:rPr>
        <w:t xml:space="preserve">EU funds </w:t>
      </w:r>
      <w:r>
        <w:rPr>
          <w:rFonts w:ascii="Verdana" w:hAnsi="Verdana" w:cs="Calibri"/>
          <w:lang w:val="en-GB"/>
        </w:rPr>
        <w:br/>
      </w:r>
      <w:r>
        <w:rPr>
          <w:rFonts w:ascii="Verdana" w:hAnsi="Verdana" w:cs="Calibri"/>
          <w:lang w:val="en-GB"/>
        </w:rPr>
        <w:tab/>
      </w:r>
    </w:p>
    <w:p w:rsidR="00975D4F" w:rsidRDefault="00975D4F">
      <w:pPr>
        <w:tabs>
          <w:tab w:val="left" w:pos="2552"/>
        </w:tabs>
        <w:ind w:left="2552"/>
        <w:rPr>
          <w:rFonts w:ascii="Verdana" w:hAnsi="Verdana" w:cs="Calibri"/>
          <w:lang w:val="en-GB"/>
        </w:rPr>
      </w:pPr>
    </w:p>
    <w:p w:rsidR="00975D4F" w:rsidRDefault="00975D4F">
      <w:pPr>
        <w:tabs>
          <w:tab w:val="left" w:pos="2552"/>
        </w:tabs>
        <w:rPr>
          <w:lang w:val="en-GB"/>
        </w:rPr>
      </w:pPr>
      <w:r>
        <w:rPr>
          <w:lang w:val="en-GB"/>
        </w:rPr>
        <w:t xml:space="preserve">The financial support includes: </w:t>
      </w:r>
      <w:r>
        <w:rPr>
          <w:lang w:val="en-GB"/>
        </w:rPr>
        <w:tab/>
        <w:t xml:space="preserve">special needs support </w:t>
      </w:r>
      <w:r>
        <w:rPr>
          <w:rFonts w:eastAsia="Wingdings"/>
          <w:lang w:val="en-GB"/>
        </w:rPr>
        <w:t></w:t>
      </w:r>
      <w:r>
        <w:rPr>
          <w:rFonts w:eastAsia="Verdana"/>
          <w:lang w:val="en-GB"/>
        </w:rPr>
        <w:tab/>
      </w:r>
    </w:p>
    <w:p w:rsidR="00975D4F" w:rsidRDefault="00975D4F">
      <w:pPr>
        <w:tabs>
          <w:tab w:val="left" w:pos="2552"/>
        </w:tabs>
        <w:ind w:left="2552"/>
        <w:rPr>
          <w:lang w:val="en-GB"/>
        </w:rPr>
      </w:pPr>
      <w:r>
        <w:rPr>
          <w:lang w:val="en-GB"/>
        </w:rPr>
        <w:t>financial support to student with disadvantaged background [by the definition given by NA</w:t>
      </w:r>
      <w:r>
        <w:rPr>
          <w:rStyle w:val="Znakapoznpodarou"/>
          <w:lang w:val="en-GB"/>
        </w:rPr>
        <w:footnoteReference w:id="1"/>
      </w:r>
      <w:r>
        <w:rPr>
          <w:lang w:val="en-GB"/>
        </w:rPr>
        <w:t xml:space="preserve">] </w:t>
      </w:r>
      <w:r>
        <w:rPr>
          <w:rFonts w:eastAsia="Wingdings"/>
          <w:lang w:val="en-GB"/>
        </w:rPr>
        <w:t></w:t>
      </w:r>
      <w:r>
        <w:rPr>
          <w:lang w:val="en-GB"/>
        </w:rPr>
        <w:t xml:space="preserve"> </w:t>
      </w:r>
      <w:r>
        <w:rPr>
          <w:rFonts w:eastAsia="Verdana"/>
          <w:lang w:val="en-GB"/>
        </w:rPr>
        <w:t xml:space="preserve">  </w:t>
      </w:r>
    </w:p>
    <w:p w:rsidR="00975D4F" w:rsidRDefault="00975D4F">
      <w:pPr>
        <w:tabs>
          <w:tab w:val="left" w:pos="2552"/>
        </w:tabs>
        <w:rPr>
          <w:lang w:val="en-GB"/>
        </w:rPr>
      </w:pPr>
    </w:p>
    <w:p w:rsidR="00FE527B" w:rsidRDefault="00975D4F">
      <w:pPr>
        <w:jc w:val="both"/>
        <w:rPr>
          <w:lang w:val="en-GB"/>
        </w:rPr>
      </w:pPr>
      <w:r>
        <w:rPr>
          <w:lang w:val="en-GB"/>
        </w:rPr>
        <w:t xml:space="preserve">Called hereafter “the participant” of the other part, </w:t>
      </w:r>
    </w:p>
    <w:p w:rsidR="00FE527B" w:rsidRDefault="00FE527B">
      <w:pPr>
        <w:jc w:val="both"/>
        <w:rPr>
          <w:lang w:val="en-GB"/>
        </w:rPr>
      </w:pPr>
    </w:p>
    <w:p w:rsidR="00975D4F" w:rsidRDefault="00FE527B">
      <w:pPr>
        <w:jc w:val="both"/>
        <w:rPr>
          <w:lang w:val="en-GB"/>
        </w:rPr>
      </w:pPr>
      <w:r>
        <w:rPr>
          <w:lang w:val="en-GB"/>
        </w:rPr>
        <w:t>H</w:t>
      </w:r>
      <w:r w:rsidR="00975D4F">
        <w:rPr>
          <w:lang w:val="en-GB"/>
        </w:rPr>
        <w:t xml:space="preserve">ave agreed </w:t>
      </w:r>
      <w:r>
        <w:rPr>
          <w:lang w:val="en-GB"/>
        </w:rPr>
        <w:t xml:space="preserve">to </w:t>
      </w:r>
      <w:r w:rsidR="00975D4F">
        <w:rPr>
          <w:lang w:val="en-GB"/>
        </w:rPr>
        <w:t>the Special Conditions and Annexes below which form an integral part of this agreement ("the agreement"):</w:t>
      </w:r>
    </w:p>
    <w:p w:rsidR="00975D4F" w:rsidRDefault="00975D4F">
      <w:pPr>
        <w:jc w:val="both"/>
        <w:rPr>
          <w:lang w:val="en-GB"/>
        </w:rPr>
      </w:pPr>
    </w:p>
    <w:p w:rsidR="00975D4F" w:rsidRDefault="00975D4F">
      <w:pPr>
        <w:jc w:val="both"/>
        <w:rPr>
          <w:lang w:val="en-GB"/>
        </w:rPr>
      </w:pPr>
    </w:p>
    <w:p w:rsidR="00975D4F" w:rsidRDefault="00975D4F">
      <w:pPr>
        <w:tabs>
          <w:tab w:val="left" w:pos="1701"/>
        </w:tabs>
        <w:ind w:left="1701" w:hanging="1701"/>
        <w:rPr>
          <w:lang w:val="en-GB"/>
        </w:rPr>
      </w:pPr>
      <w:r>
        <w:rPr>
          <w:lang w:val="en-GB"/>
        </w:rPr>
        <w:t>Annex I</w:t>
      </w:r>
      <w:r>
        <w:rPr>
          <w:lang w:val="en-GB"/>
        </w:rPr>
        <w:tab/>
        <w:t>Learning Agreement for Studies</w:t>
      </w:r>
    </w:p>
    <w:p w:rsidR="00975D4F" w:rsidRDefault="00975D4F">
      <w:pPr>
        <w:tabs>
          <w:tab w:val="left" w:pos="1701"/>
        </w:tabs>
        <w:ind w:left="1701" w:hanging="1701"/>
        <w:rPr>
          <w:lang w:val="en-GB"/>
        </w:rPr>
      </w:pPr>
      <w:r>
        <w:rPr>
          <w:lang w:val="en-GB"/>
        </w:rPr>
        <w:t>Annex II</w:t>
      </w:r>
      <w:r>
        <w:rPr>
          <w:lang w:val="en-GB"/>
        </w:rPr>
        <w:tab/>
        <w:t>General Conditions</w:t>
      </w:r>
    </w:p>
    <w:p w:rsidR="00975D4F" w:rsidRDefault="00975D4F">
      <w:pPr>
        <w:tabs>
          <w:tab w:val="left" w:pos="1701"/>
        </w:tabs>
        <w:ind w:left="1701" w:hanging="1701"/>
        <w:rPr>
          <w:lang w:val="en-GB"/>
        </w:rPr>
      </w:pPr>
      <w:r>
        <w:rPr>
          <w:lang w:val="en-GB"/>
        </w:rPr>
        <w:t>Annex III</w:t>
      </w:r>
      <w:r>
        <w:rPr>
          <w:lang w:val="en-GB"/>
        </w:rPr>
        <w:tab/>
        <w:t xml:space="preserve">Erasmus Student Charter (on-line at </w:t>
      </w:r>
      <w:hyperlink r:id="rId10" w:history="1">
        <w:r w:rsidRPr="0037388F">
          <w:rPr>
            <w:rStyle w:val="Hypertextovodkaz"/>
            <w:color w:val="000000"/>
            <w:u w:val="none"/>
            <w:lang w:val="en-GB"/>
          </w:rPr>
          <w:t>http://www.iro.upol.cz/</w:t>
        </w:r>
      </w:hyperlink>
      <w:r w:rsidRPr="0037388F">
        <w:rPr>
          <w:lang w:val="en-GB"/>
        </w:rPr>
        <w:t>)</w:t>
      </w:r>
    </w:p>
    <w:p w:rsidR="00975D4F" w:rsidRDefault="00E150F0">
      <w:pPr>
        <w:tabs>
          <w:tab w:val="left" w:pos="1701"/>
        </w:tabs>
        <w:ind w:left="1701" w:hanging="1701"/>
        <w:rPr>
          <w:sz w:val="24"/>
          <w:szCs w:val="24"/>
          <w:lang w:val="en-GB"/>
        </w:rPr>
      </w:pPr>
      <w:r>
        <w:rPr>
          <w:lang w:val="en-GB"/>
        </w:rPr>
        <w:t>Annex IV</w:t>
      </w:r>
      <w:r>
        <w:rPr>
          <w:lang w:val="en-GB"/>
        </w:rPr>
        <w:tab/>
        <w:t>Bank Account Details</w:t>
      </w:r>
      <w:r w:rsidR="00975D4F">
        <w:rPr>
          <w:lang w:val="en-GB"/>
        </w:rPr>
        <w:t xml:space="preserve"> form</w:t>
      </w:r>
    </w:p>
    <w:p w:rsidR="00975D4F" w:rsidRDefault="00975D4F">
      <w:pPr>
        <w:tabs>
          <w:tab w:val="left" w:pos="1701"/>
        </w:tabs>
        <w:ind w:left="1701" w:hanging="1701"/>
        <w:rPr>
          <w:sz w:val="24"/>
          <w:szCs w:val="24"/>
          <w:lang w:val="en-GB"/>
        </w:rPr>
      </w:pPr>
    </w:p>
    <w:p w:rsidR="00975D4F" w:rsidRDefault="00975D4F">
      <w:pPr>
        <w:jc w:val="both"/>
        <w:rPr>
          <w:u w:val="single"/>
          <w:lang w:val="en-GB"/>
        </w:rPr>
      </w:pPr>
      <w:r>
        <w:rPr>
          <w:u w:val="single"/>
          <w:lang w:val="en-GB"/>
        </w:rPr>
        <w:t xml:space="preserve">The terms set out in the Special Conditions shall take precedence over those set out in the annexes. </w:t>
      </w:r>
    </w:p>
    <w:p w:rsidR="00975D4F" w:rsidRDefault="00975D4F">
      <w:pPr>
        <w:jc w:val="both"/>
        <w:rPr>
          <w:u w:val="single"/>
          <w:lang w:val="en-GB"/>
        </w:rPr>
      </w:pPr>
    </w:p>
    <w:p w:rsidR="00975D4F" w:rsidRDefault="00975D4F">
      <w:pPr>
        <w:jc w:val="both"/>
        <w:rPr>
          <w:u w:val="single"/>
          <w:lang w:val="en-GB"/>
        </w:rPr>
      </w:pPr>
    </w:p>
    <w:p w:rsidR="00975D4F" w:rsidRDefault="00975D4F">
      <w:pPr>
        <w:jc w:val="both"/>
        <w:rPr>
          <w:u w:val="single"/>
          <w:lang w:val="en-GB"/>
        </w:rPr>
      </w:pPr>
    </w:p>
    <w:p w:rsidR="00975D4F" w:rsidRDefault="00975D4F">
      <w:pPr>
        <w:jc w:val="both"/>
        <w:rPr>
          <w:u w:val="single"/>
          <w:lang w:val="en-GB"/>
        </w:rPr>
      </w:pPr>
    </w:p>
    <w:p w:rsidR="00975D4F" w:rsidRDefault="00975D4F">
      <w:pPr>
        <w:jc w:val="both"/>
        <w:rPr>
          <w:u w:val="single"/>
          <w:lang w:val="en-GB"/>
        </w:rPr>
      </w:pPr>
    </w:p>
    <w:p w:rsidR="00975D4F" w:rsidRDefault="00975D4F">
      <w:pPr>
        <w:jc w:val="both"/>
        <w:rPr>
          <w:u w:val="single"/>
          <w:lang w:val="en-GB"/>
        </w:rPr>
      </w:pPr>
    </w:p>
    <w:p w:rsidR="00975D4F" w:rsidRDefault="00975D4F">
      <w:pPr>
        <w:sectPr w:rsidR="00975D4F">
          <w:footerReference w:type="default" r:id="rId11"/>
          <w:pgSz w:w="11906" w:h="16838"/>
          <w:pgMar w:top="1134" w:right="1418" w:bottom="1134" w:left="1418" w:header="708" w:footer="720" w:gutter="0"/>
          <w:cols w:space="708"/>
          <w:docGrid w:linePitch="600" w:charSpace="40960"/>
        </w:sectPr>
      </w:pPr>
    </w:p>
    <w:p w:rsidR="00975D4F" w:rsidRDefault="00975D4F">
      <w:pPr>
        <w:jc w:val="center"/>
        <w:rPr>
          <w:rFonts w:ascii="Arial" w:hAnsi="Arial" w:cs="Arial"/>
          <w:sz w:val="24"/>
          <w:szCs w:val="24"/>
          <w:lang w:val="cs-CZ"/>
        </w:rPr>
      </w:pPr>
      <w:r>
        <w:rPr>
          <w:sz w:val="24"/>
          <w:szCs w:val="24"/>
          <w:lang w:val="cs-CZ"/>
        </w:rPr>
        <w:lastRenderedPageBreak/>
        <w:t>SPECIAL CONDITIONS</w:t>
      </w:r>
    </w:p>
    <w:p w:rsidR="00975D4F" w:rsidRDefault="00975D4F">
      <w:pPr>
        <w:jc w:val="center"/>
        <w:rPr>
          <w:rFonts w:ascii="Arial" w:hAnsi="Arial" w:cs="Arial"/>
          <w:sz w:val="24"/>
          <w:szCs w:val="24"/>
          <w:lang w:val="cs-CZ"/>
        </w:rPr>
      </w:pPr>
    </w:p>
    <w:p w:rsidR="00975D4F" w:rsidRDefault="00975D4F">
      <w:pPr>
        <w:pStyle w:val="Text1"/>
        <w:pBdr>
          <w:bottom w:val="single" w:sz="4" w:space="1" w:color="000000"/>
        </w:pBdr>
        <w:spacing w:after="0"/>
        <w:ind w:left="0"/>
        <w:jc w:val="left"/>
        <w:rPr>
          <w:sz w:val="20"/>
          <w:lang w:val="en-GB"/>
        </w:rPr>
      </w:pPr>
      <w:r>
        <w:rPr>
          <w:rFonts w:ascii="Arial" w:hAnsi="Arial" w:cs="Arial"/>
          <w:sz w:val="20"/>
          <w:lang w:val="cs-CZ"/>
        </w:rPr>
        <w:t xml:space="preserve"> </w:t>
      </w:r>
    </w:p>
    <w:p w:rsidR="00975D4F" w:rsidRDefault="00975D4F">
      <w:pPr>
        <w:pStyle w:val="Text1"/>
        <w:pBdr>
          <w:bottom w:val="single" w:sz="4" w:space="1" w:color="000000"/>
        </w:pBdr>
        <w:spacing w:after="0"/>
        <w:ind w:left="0"/>
        <w:jc w:val="left"/>
        <w:rPr>
          <w:lang w:val="en-GB"/>
        </w:rPr>
      </w:pPr>
      <w:r>
        <w:rPr>
          <w:sz w:val="20"/>
          <w:lang w:val="en-GB"/>
        </w:rPr>
        <w:t xml:space="preserve">ARTICLE 1 – SUBJECT MATTER OF THE AGREEMENT </w:t>
      </w:r>
    </w:p>
    <w:p w:rsidR="00975D4F" w:rsidRDefault="00975D4F">
      <w:pPr>
        <w:ind w:left="567" w:hanging="567"/>
        <w:jc w:val="both"/>
        <w:rPr>
          <w:lang w:val="en-GB"/>
        </w:rPr>
      </w:pPr>
      <w:r>
        <w:rPr>
          <w:lang w:val="en-GB"/>
        </w:rPr>
        <w:t>1.1</w:t>
      </w:r>
      <w:r>
        <w:rPr>
          <w:lang w:val="en-GB"/>
        </w:rPr>
        <w:tab/>
        <w:t>The institution shall provide support to the participant for undertaking a mobility activity for studies under the Erasmus+ Programme</w:t>
      </w:r>
      <w:r w:rsidR="007F5E19">
        <w:rPr>
          <w:lang w:val="en-GB"/>
        </w:rPr>
        <w:t xml:space="preserve"> at </w:t>
      </w:r>
      <w:r w:rsidR="00AB5874" w:rsidRPr="00AB5874">
        <w:rPr>
          <w:b/>
          <w:lang w:val="en-GB"/>
        </w:rPr>
        <w:t>Universit</w:t>
      </w:r>
      <w:r w:rsidR="008A2AAE">
        <w:rPr>
          <w:b/>
          <w:lang w:val="en-GB"/>
        </w:rPr>
        <w:t>y</w:t>
      </w:r>
      <w:r>
        <w:rPr>
          <w:lang w:val="en-GB"/>
        </w:rPr>
        <w:t xml:space="preserve">, </w:t>
      </w:r>
      <w:r w:rsidRPr="001675F8">
        <w:rPr>
          <w:b/>
          <w:lang w:val="en-GB"/>
        </w:rPr>
        <w:t>ID code</w:t>
      </w:r>
      <w:r>
        <w:rPr>
          <w:lang w:val="en-GB"/>
        </w:rPr>
        <w:t>:.</w:t>
      </w:r>
    </w:p>
    <w:p w:rsidR="00975D4F" w:rsidRDefault="00975D4F">
      <w:pPr>
        <w:ind w:left="567" w:hanging="567"/>
        <w:jc w:val="both"/>
        <w:rPr>
          <w:lang w:val="en-GB"/>
        </w:rPr>
      </w:pPr>
      <w:r>
        <w:rPr>
          <w:lang w:val="en-GB"/>
        </w:rPr>
        <w:t>1.2</w:t>
      </w:r>
      <w:r>
        <w:rPr>
          <w:lang w:val="en-GB"/>
        </w:rPr>
        <w:tab/>
        <w:t>The participant accepts the support specified in Article 3 and undertakes to carry out the mobility activity for studies as described in Annex I.</w:t>
      </w:r>
    </w:p>
    <w:p w:rsidR="00975D4F" w:rsidRDefault="00975D4F">
      <w:pPr>
        <w:ind w:left="567" w:hanging="567"/>
        <w:jc w:val="both"/>
        <w:rPr>
          <w:rFonts w:ascii="Arial" w:hAnsi="Arial" w:cs="Arial"/>
          <w:lang w:val="cs-CZ"/>
        </w:rPr>
      </w:pPr>
      <w:r>
        <w:rPr>
          <w:lang w:val="en-GB"/>
        </w:rPr>
        <w:t>1.3.</w:t>
      </w:r>
      <w:r>
        <w:rPr>
          <w:lang w:val="en-GB"/>
        </w:rPr>
        <w:tab/>
        <w:t>Amendments to the agreement, including to the start and end dates, shall be requested and agreed by both parties through a formal notification by letter or by electronic message.</w:t>
      </w:r>
    </w:p>
    <w:p w:rsidR="00975D4F" w:rsidRDefault="00975D4F">
      <w:pPr>
        <w:ind w:left="567" w:hanging="567"/>
        <w:jc w:val="both"/>
        <w:rPr>
          <w:rFonts w:ascii="Arial" w:hAnsi="Arial" w:cs="Arial"/>
          <w:lang w:val="cs-CZ"/>
        </w:rPr>
      </w:pPr>
    </w:p>
    <w:p w:rsidR="00975D4F" w:rsidRDefault="00975D4F">
      <w:pPr>
        <w:pBdr>
          <w:bottom w:val="single" w:sz="4" w:space="1" w:color="000000"/>
        </w:pBdr>
        <w:ind w:left="567" w:hanging="567"/>
        <w:rPr>
          <w:lang w:val="en-GB"/>
        </w:rPr>
      </w:pPr>
      <w:r>
        <w:rPr>
          <w:lang w:val="en-GB"/>
        </w:rPr>
        <w:t>ARTICLE 2 – ENTRY INTO FORCE AND DURATION OF MOBILITY</w:t>
      </w:r>
    </w:p>
    <w:p w:rsidR="00975D4F" w:rsidRDefault="00975D4F">
      <w:pPr>
        <w:ind w:left="567" w:hanging="567"/>
        <w:jc w:val="both"/>
        <w:rPr>
          <w:lang w:val="en-GB"/>
        </w:rPr>
      </w:pPr>
      <w:r>
        <w:rPr>
          <w:lang w:val="en-GB"/>
        </w:rPr>
        <w:t>2.1</w:t>
      </w:r>
      <w:r>
        <w:rPr>
          <w:lang w:val="en-GB"/>
        </w:rPr>
        <w:tab/>
        <w:t>The agreement shall enter into force on the date when the last of the two parties signs.</w:t>
      </w:r>
    </w:p>
    <w:p w:rsidR="00975D4F" w:rsidRPr="008A2AAE" w:rsidRDefault="00975D4F" w:rsidP="008A2AAE">
      <w:pPr>
        <w:ind w:left="567" w:hanging="567"/>
        <w:jc w:val="both"/>
        <w:rPr>
          <w:b/>
        </w:rPr>
      </w:pPr>
      <w:r>
        <w:rPr>
          <w:lang w:val="en-GB"/>
        </w:rPr>
        <w:t>2.2</w:t>
      </w:r>
      <w:r>
        <w:rPr>
          <w:lang w:val="en-GB"/>
        </w:rPr>
        <w:tab/>
        <w:t xml:space="preserve">The mobility period shall start </w:t>
      </w:r>
      <w:r w:rsidR="00F63E7C" w:rsidRPr="00C64907">
        <w:t xml:space="preserve">on </w:t>
      </w:r>
      <w:r w:rsidR="008A2AAE">
        <w:t xml:space="preserve"> </w:t>
      </w:r>
      <w:r w:rsidR="007A692E" w:rsidRPr="00AA4A30">
        <w:rPr>
          <w:b/>
        </w:rPr>
        <w:t>DATE</w:t>
      </w:r>
      <w:r w:rsidR="008A2AAE">
        <w:t xml:space="preserve">  </w:t>
      </w:r>
      <w:r w:rsidR="007F5E19" w:rsidRPr="00C64907">
        <w:t xml:space="preserve">and end on </w:t>
      </w:r>
      <w:r w:rsidR="007A692E" w:rsidRPr="00AA4A30">
        <w:rPr>
          <w:b/>
        </w:rPr>
        <w:t>DATE</w:t>
      </w:r>
      <w:r w:rsidR="008A2AAE">
        <w:rPr>
          <w:b/>
        </w:rPr>
        <w:t xml:space="preserve">  </w:t>
      </w:r>
      <w:r w:rsidR="007F5E19" w:rsidRPr="007F5E19">
        <w:t xml:space="preserve">. </w:t>
      </w:r>
      <w:r w:rsidRPr="00F7787E">
        <w:t>The start</w:t>
      </w:r>
      <w:r>
        <w:rPr>
          <w:lang w:val="en-GB"/>
        </w:rPr>
        <w:t xml:space="preserve"> date of the mobility period shall be the first day that the participant needs to be present at the receiving in</w:t>
      </w:r>
      <w:r w:rsidR="00357ECA">
        <w:rPr>
          <w:lang w:val="en-GB"/>
        </w:rPr>
        <w:t xml:space="preserve">stitution. In case of </w:t>
      </w:r>
      <w:r>
        <w:rPr>
          <w:lang w:val="en-GB"/>
        </w:rPr>
        <w:t xml:space="preserve">a language course </w:t>
      </w:r>
      <w:r w:rsidR="00357ECA">
        <w:rPr>
          <w:lang w:val="en-GB"/>
        </w:rPr>
        <w:t xml:space="preserve">attendance at another institution than </w:t>
      </w:r>
      <w:r w:rsidR="006042C8">
        <w:rPr>
          <w:lang w:val="en-GB"/>
        </w:rPr>
        <w:t xml:space="preserve">specified </w:t>
      </w:r>
      <w:r w:rsidR="005019E2">
        <w:rPr>
          <w:lang w:val="en-GB"/>
        </w:rPr>
        <w:t>in article 1.1</w:t>
      </w:r>
      <w:r w:rsidR="00357ECA">
        <w:rPr>
          <w:lang w:val="en-GB"/>
        </w:rPr>
        <w:t xml:space="preserve">, </w:t>
      </w:r>
      <w:r>
        <w:rPr>
          <w:lang w:val="en-GB"/>
        </w:rPr>
        <w:t xml:space="preserve">the start date of the mobility period shall be the first day of language course attendance outside the receiving institution. The end date of the period abroad shall be the last day the participant needs to be present at the receiving </w:t>
      </w:r>
      <w:r w:rsidR="00357ECA">
        <w:rPr>
          <w:lang w:val="en-GB"/>
        </w:rPr>
        <w:t>institution</w:t>
      </w:r>
      <w:r>
        <w:rPr>
          <w:lang w:val="en-GB"/>
        </w:rPr>
        <w:t>.</w:t>
      </w:r>
    </w:p>
    <w:p w:rsidR="00975D4F" w:rsidRPr="00F7787E" w:rsidRDefault="00975D4F">
      <w:pPr>
        <w:ind w:left="567" w:hanging="567"/>
        <w:jc w:val="both"/>
      </w:pPr>
      <w:r>
        <w:rPr>
          <w:lang w:val="en-GB"/>
        </w:rPr>
        <w:t xml:space="preserve">2.3 </w:t>
      </w:r>
      <w:r>
        <w:rPr>
          <w:lang w:val="en-GB"/>
        </w:rPr>
        <w:tab/>
      </w:r>
      <w:r w:rsidR="00F63E7C">
        <w:rPr>
          <w:lang w:val="en-GB"/>
        </w:rPr>
        <w:t xml:space="preserve">The participant shall receive a financial support from Erasmus+ EU funds </w:t>
      </w:r>
      <w:r w:rsidR="00F63E7C">
        <w:t xml:space="preserve">for </w:t>
      </w:r>
      <w:r w:rsidR="008A2AAE">
        <w:rPr>
          <w:b/>
        </w:rPr>
        <w:t>X</w:t>
      </w:r>
      <w:r w:rsidR="00F63E7C" w:rsidRPr="00C64907">
        <w:t xml:space="preserve"> </w:t>
      </w:r>
      <w:r w:rsidR="00F63E7C" w:rsidRPr="00C64907">
        <w:rPr>
          <w:b/>
        </w:rPr>
        <w:t>months</w:t>
      </w:r>
      <w:r w:rsidR="00F63E7C" w:rsidRPr="00C64907">
        <w:t xml:space="preserve"> and </w:t>
      </w:r>
      <w:r w:rsidR="008A2AAE">
        <w:rPr>
          <w:b/>
        </w:rPr>
        <w:t>Y</w:t>
      </w:r>
      <w:r w:rsidR="00F63E7C" w:rsidRPr="00C64907">
        <w:rPr>
          <w:b/>
        </w:rPr>
        <w:t xml:space="preserve"> days</w:t>
      </w:r>
      <w:r w:rsidR="00F63E7C" w:rsidRPr="00F7787E">
        <w:t>.</w:t>
      </w:r>
    </w:p>
    <w:p w:rsidR="00975D4F" w:rsidRDefault="00975D4F">
      <w:pPr>
        <w:ind w:left="567" w:hanging="567"/>
        <w:jc w:val="both"/>
        <w:rPr>
          <w:lang w:val="en-GB"/>
        </w:rPr>
      </w:pPr>
      <w:r>
        <w:rPr>
          <w:lang w:val="en-GB"/>
        </w:rPr>
        <w:t>2.</w:t>
      </w:r>
      <w:r w:rsidR="008A2AAE">
        <w:rPr>
          <w:lang w:val="en-GB"/>
        </w:rPr>
        <w:t>4</w:t>
      </w:r>
      <w:r>
        <w:rPr>
          <w:lang w:val="en-GB"/>
        </w:rPr>
        <w:t xml:space="preserve"> </w:t>
      </w:r>
      <w:r>
        <w:rPr>
          <w:lang w:val="en-GB"/>
        </w:rPr>
        <w:tab/>
        <w:t xml:space="preserve">The total duration of the mobility period shall not exceed 12 months, including any zero grant period. </w:t>
      </w:r>
    </w:p>
    <w:p w:rsidR="00975D4F" w:rsidRDefault="00975D4F">
      <w:pPr>
        <w:tabs>
          <w:tab w:val="left" w:pos="567"/>
        </w:tabs>
        <w:ind w:left="567" w:hanging="567"/>
        <w:jc w:val="both"/>
        <w:rPr>
          <w:lang w:val="en-GB"/>
        </w:rPr>
      </w:pPr>
      <w:r>
        <w:rPr>
          <w:lang w:val="en-GB"/>
        </w:rPr>
        <w:t>2.</w:t>
      </w:r>
      <w:r w:rsidR="008A2AAE">
        <w:rPr>
          <w:lang w:val="en-GB"/>
        </w:rPr>
        <w:t>5</w:t>
      </w:r>
      <w:r>
        <w:rPr>
          <w:lang w:val="en-GB"/>
        </w:rPr>
        <w:t xml:space="preserve"> </w:t>
      </w:r>
      <w:r>
        <w:rPr>
          <w:lang w:val="en-GB"/>
        </w:rPr>
        <w:tab/>
        <w:t>Demands to the institution to extend the period of stay should be introduced at least one month before the end of the originally planned mobility period.</w:t>
      </w:r>
    </w:p>
    <w:p w:rsidR="00975D4F" w:rsidRDefault="00975D4F">
      <w:pPr>
        <w:ind w:left="567" w:hanging="567"/>
        <w:jc w:val="both"/>
        <w:rPr>
          <w:rFonts w:ascii="Arial" w:hAnsi="Arial" w:cs="Arial"/>
          <w:u w:val="single"/>
          <w:lang w:val="cs-CZ"/>
        </w:rPr>
      </w:pPr>
      <w:r>
        <w:rPr>
          <w:lang w:val="en-GB"/>
        </w:rPr>
        <w:t>2.</w:t>
      </w:r>
      <w:r w:rsidR="008A2AAE">
        <w:rPr>
          <w:lang w:val="en-GB"/>
        </w:rPr>
        <w:t>6</w:t>
      </w:r>
      <w:r>
        <w:rPr>
          <w:lang w:val="en-GB"/>
        </w:rPr>
        <w:tab/>
        <w:t>The Transcript of Records or statement attached to these documents shall provide the confirmed start and end dates of duration of the mobility period.</w:t>
      </w:r>
    </w:p>
    <w:p w:rsidR="00975D4F" w:rsidRDefault="00975D4F">
      <w:pPr>
        <w:pStyle w:val="Text1"/>
        <w:spacing w:after="0"/>
        <w:ind w:left="0"/>
        <w:rPr>
          <w:rFonts w:ascii="Arial" w:hAnsi="Arial" w:cs="Arial"/>
          <w:sz w:val="20"/>
          <w:u w:val="single"/>
          <w:lang w:val="cs-CZ"/>
        </w:rPr>
      </w:pPr>
    </w:p>
    <w:p w:rsidR="00975D4F" w:rsidRDefault="00975D4F">
      <w:pPr>
        <w:pStyle w:val="Text1"/>
        <w:pBdr>
          <w:bottom w:val="single" w:sz="4" w:space="1" w:color="000000"/>
        </w:pBdr>
        <w:spacing w:after="0"/>
        <w:ind w:left="0"/>
        <w:jc w:val="left"/>
        <w:rPr>
          <w:lang w:val="en-GB"/>
        </w:rPr>
      </w:pPr>
      <w:r>
        <w:rPr>
          <w:sz w:val="20"/>
          <w:lang w:val="en-GB"/>
        </w:rPr>
        <w:t xml:space="preserve">ARTICLE 3 – FINANCIAL SUPPORT </w:t>
      </w:r>
    </w:p>
    <w:p w:rsidR="00975D4F" w:rsidRPr="00F7787E" w:rsidRDefault="00975D4F">
      <w:pPr>
        <w:ind w:left="567" w:hanging="567"/>
        <w:jc w:val="both"/>
      </w:pPr>
      <w:r>
        <w:rPr>
          <w:lang w:val="en-GB"/>
        </w:rPr>
        <w:t>3.1</w:t>
      </w:r>
      <w:r>
        <w:rPr>
          <w:lang w:val="en-GB"/>
        </w:rPr>
        <w:tab/>
        <w:t>The financial sup</w:t>
      </w:r>
      <w:r w:rsidR="007F5E19">
        <w:rPr>
          <w:lang w:val="en-GB"/>
        </w:rPr>
        <w:t xml:space="preserve">port for the mobility period is </w:t>
      </w:r>
      <w:r w:rsidR="00C72164" w:rsidRPr="00C72164">
        <w:rPr>
          <w:b/>
          <w:lang w:val="en-GB"/>
        </w:rPr>
        <w:t>0</w:t>
      </w:r>
      <w:r w:rsidR="00C72164">
        <w:rPr>
          <w:lang w:val="en-GB"/>
        </w:rPr>
        <w:t xml:space="preserve"> </w:t>
      </w:r>
      <w:r w:rsidR="00DB4893" w:rsidRPr="00C64907">
        <w:rPr>
          <w:b/>
        </w:rPr>
        <w:t>EUR</w:t>
      </w:r>
      <w:r w:rsidRPr="00F7787E">
        <w:t>, corresponding t</w:t>
      </w:r>
      <w:r w:rsidR="000C4B33">
        <w:t xml:space="preserve">o EUR </w:t>
      </w:r>
      <w:r w:rsidR="008A2AAE">
        <w:t>0</w:t>
      </w:r>
      <w:r w:rsidR="007F5E19">
        <w:t xml:space="preserve"> per month and EUR </w:t>
      </w:r>
      <w:r w:rsidR="00AB5874">
        <w:t xml:space="preserve"> </w:t>
      </w:r>
      <w:r w:rsidR="008A2AAE">
        <w:t>0</w:t>
      </w:r>
      <w:r w:rsidR="00AB5874">
        <w:t xml:space="preserve">  </w:t>
      </w:r>
      <w:r w:rsidRPr="00F7787E">
        <w:t xml:space="preserve"> per extra days.</w:t>
      </w:r>
    </w:p>
    <w:p w:rsidR="00975D4F" w:rsidRDefault="00975D4F">
      <w:pPr>
        <w:ind w:left="567" w:hanging="567"/>
        <w:jc w:val="both"/>
        <w:rPr>
          <w:lang w:val="en-GB"/>
        </w:rPr>
      </w:pPr>
      <w:r>
        <w:rPr>
          <w:lang w:val="en-GB"/>
        </w:rPr>
        <w:t>3.2</w:t>
      </w:r>
      <w:r>
        <w:rPr>
          <w:lang w:val="en-GB"/>
        </w:rPr>
        <w:tab/>
        <w:t>The amount for the mobility period shall be determined by multiplying the number of month</w:t>
      </w:r>
      <w:r w:rsidR="006042C8">
        <w:rPr>
          <w:lang w:val="en-GB"/>
        </w:rPr>
        <w:t>s of the mobility specified in a</w:t>
      </w:r>
      <w:r>
        <w:rPr>
          <w:lang w:val="en-GB"/>
        </w:rPr>
        <w:t>rticle 2.3</w:t>
      </w:r>
      <w:r w:rsidR="00FE527B">
        <w:rPr>
          <w:lang w:val="en-GB"/>
        </w:rPr>
        <w:t xml:space="preserve"> </w:t>
      </w:r>
      <w:bookmarkStart w:id="0" w:name="_GoBack"/>
      <w:bookmarkEnd w:id="0"/>
      <w:r>
        <w:rPr>
          <w:lang w:val="en-GB"/>
        </w:rPr>
        <w:t>with the rate applicable per month for the receiving country concerned. In the case of incomplete months, the financial support is calculated by multiplying the number of days in the incomplete month with 1/30 of the unit cost per month.</w:t>
      </w:r>
    </w:p>
    <w:p w:rsidR="00975D4F" w:rsidRDefault="00975D4F">
      <w:pPr>
        <w:ind w:left="567" w:hanging="567"/>
        <w:jc w:val="both"/>
        <w:rPr>
          <w:lang w:val="en-GB"/>
        </w:rPr>
      </w:pPr>
      <w:r>
        <w:rPr>
          <w:lang w:val="en-GB"/>
        </w:rPr>
        <w:t xml:space="preserve">3.3 </w:t>
      </w:r>
      <w:r>
        <w:rPr>
          <w:lang w:val="en-GB"/>
        </w:rPr>
        <w:tab/>
        <w:t>The reimbursement of costs incurred in connection with special needs, when applicable, shall be based on the supporting documents provided by the participant.</w:t>
      </w:r>
    </w:p>
    <w:p w:rsidR="00975D4F" w:rsidRDefault="00975D4F">
      <w:pPr>
        <w:ind w:left="567" w:hanging="567"/>
        <w:jc w:val="both"/>
        <w:rPr>
          <w:lang w:val="en-GB"/>
        </w:rPr>
      </w:pPr>
      <w:r>
        <w:rPr>
          <w:lang w:val="en-GB"/>
        </w:rPr>
        <w:t>3.4</w:t>
      </w:r>
      <w:r>
        <w:rPr>
          <w:lang w:val="en-GB"/>
        </w:rPr>
        <w:tab/>
        <w:t>The financial support may not be used to cover similar costs already funded by EU funds.</w:t>
      </w:r>
    </w:p>
    <w:p w:rsidR="00975D4F" w:rsidRDefault="006042C8">
      <w:pPr>
        <w:ind w:left="567" w:hanging="567"/>
        <w:jc w:val="both"/>
        <w:rPr>
          <w:lang w:val="en-GB"/>
        </w:rPr>
      </w:pPr>
      <w:r>
        <w:rPr>
          <w:lang w:val="en-GB"/>
        </w:rPr>
        <w:t>3.5</w:t>
      </w:r>
      <w:r>
        <w:rPr>
          <w:lang w:val="en-GB"/>
        </w:rPr>
        <w:tab/>
        <w:t>Notwithstanding a</w:t>
      </w:r>
      <w:r w:rsidR="00975D4F">
        <w:rPr>
          <w:lang w:val="en-GB"/>
        </w:rPr>
        <w:t>rticle 3.4, the grant is compatible with any other source of funding including revenue that the participant could receive workin</w:t>
      </w:r>
      <w:r>
        <w:rPr>
          <w:lang w:val="en-GB"/>
        </w:rPr>
        <w:t>g beyond its studies as long as he/</w:t>
      </w:r>
      <w:r w:rsidR="00975D4F">
        <w:rPr>
          <w:lang w:val="en-GB"/>
        </w:rPr>
        <w:t>she carries out the activities foreseen in Annex I.</w:t>
      </w:r>
    </w:p>
    <w:p w:rsidR="00975D4F" w:rsidRDefault="00975D4F">
      <w:pPr>
        <w:ind w:left="567" w:hanging="567"/>
        <w:jc w:val="both"/>
        <w:rPr>
          <w:lang w:val="en-GB"/>
        </w:rPr>
      </w:pPr>
      <w:r>
        <w:rPr>
          <w:lang w:val="en-GB"/>
        </w:rPr>
        <w:t>3.6</w:t>
      </w:r>
      <w:r>
        <w:rPr>
          <w:lang w:val="en-GB"/>
        </w:rPr>
        <w:tab/>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w:t>
      </w:r>
      <w:r w:rsidR="00A46C07">
        <w:rPr>
          <w:lang w:val="en-GB"/>
        </w:rPr>
        <w:t xml:space="preserve"> mobility period as defined in a</w:t>
      </w:r>
      <w:r>
        <w:rPr>
          <w:lang w:val="en-GB"/>
        </w:rPr>
        <w:t>rticle 2.2. Any remaining funds shall have to be refunded, except if agreed differently with the sending institution. Such cases shall be reported by the sending institution and accepted by the National Agency.</w:t>
      </w:r>
    </w:p>
    <w:p w:rsidR="00975D4F" w:rsidRDefault="00975D4F">
      <w:pPr>
        <w:ind w:left="567" w:hanging="567"/>
        <w:jc w:val="both"/>
        <w:rPr>
          <w:rFonts w:ascii="Arial" w:hAnsi="Arial" w:cs="Arial"/>
          <w:lang w:val="cs-CZ"/>
        </w:rPr>
      </w:pPr>
      <w:r>
        <w:rPr>
          <w:lang w:val="en-GB"/>
        </w:rPr>
        <w:t>3.7</w:t>
      </w:r>
      <w:r>
        <w:rPr>
          <w:lang w:val="en-GB"/>
        </w:rPr>
        <w:tab/>
      </w:r>
      <w:r w:rsidRPr="00F7787E">
        <w:t>The financial support is intended to compensate for the increased costs of living abroad. The participant agrees to cover any costs</w:t>
      </w:r>
      <w:r w:rsidR="00A46C07">
        <w:t xml:space="preserve"> related to the stay in the receiving</w:t>
      </w:r>
      <w:r w:rsidRPr="00F7787E">
        <w:t xml:space="preserve"> country exceeding the financial support und</w:t>
      </w:r>
      <w:r w:rsidR="00A46C07">
        <w:t>er a</w:t>
      </w:r>
      <w:r w:rsidR="006E6DE1">
        <w:t>rticle 3.</w:t>
      </w:r>
    </w:p>
    <w:p w:rsidR="00975D4F" w:rsidRDefault="00975D4F">
      <w:pPr>
        <w:ind w:left="567" w:hanging="567"/>
        <w:jc w:val="both"/>
        <w:rPr>
          <w:rFonts w:ascii="Arial" w:hAnsi="Arial" w:cs="Arial"/>
          <w:lang w:val="cs-CZ"/>
        </w:rPr>
      </w:pPr>
    </w:p>
    <w:p w:rsidR="00975D4F" w:rsidRDefault="00975D4F">
      <w:pPr>
        <w:pBdr>
          <w:bottom w:val="single" w:sz="4" w:space="1" w:color="000000"/>
        </w:pBdr>
        <w:ind w:left="567" w:hanging="567"/>
        <w:rPr>
          <w:rFonts w:ascii="Arial" w:hAnsi="Arial" w:cs="Arial"/>
          <w:lang w:val="cs-CZ"/>
        </w:rPr>
      </w:pPr>
    </w:p>
    <w:p w:rsidR="00975D4F" w:rsidRDefault="00975D4F">
      <w:pPr>
        <w:pBdr>
          <w:bottom w:val="single" w:sz="4" w:space="1" w:color="000000"/>
        </w:pBdr>
        <w:ind w:left="567" w:hanging="567"/>
        <w:rPr>
          <w:rFonts w:ascii="Arial" w:hAnsi="Arial" w:cs="Arial"/>
          <w:lang w:val="cs-CZ"/>
        </w:rPr>
      </w:pPr>
    </w:p>
    <w:p w:rsidR="00975D4F" w:rsidRDefault="00975D4F">
      <w:pPr>
        <w:pBdr>
          <w:bottom w:val="single" w:sz="4" w:space="1" w:color="000000"/>
        </w:pBdr>
        <w:ind w:left="567" w:hanging="567"/>
        <w:rPr>
          <w:lang w:val="en-GB"/>
        </w:rPr>
      </w:pPr>
      <w:r>
        <w:rPr>
          <w:lang w:val="en-GB"/>
        </w:rPr>
        <w:t>ARTICLE 4 – PAYMENT ARRANGEMENTS</w:t>
      </w:r>
    </w:p>
    <w:p w:rsidR="00975D4F" w:rsidRDefault="00975D4F" w:rsidP="00F7787E">
      <w:pPr>
        <w:ind w:left="567" w:hanging="567"/>
        <w:jc w:val="both"/>
        <w:rPr>
          <w:lang w:val="en-GB"/>
        </w:rPr>
      </w:pPr>
      <w:r>
        <w:rPr>
          <w:lang w:val="en-GB"/>
        </w:rPr>
        <w:t>4.1</w:t>
      </w:r>
      <w:r>
        <w:rPr>
          <w:lang w:val="en-GB"/>
        </w:rPr>
        <w:tab/>
        <w:t xml:space="preserve">A pre-financing payment shall be made to the participant no later than (whichever comes first): </w:t>
      </w:r>
    </w:p>
    <w:p w:rsidR="00975D4F" w:rsidRDefault="00975D4F" w:rsidP="00F7787E">
      <w:pPr>
        <w:pStyle w:val="Odstavecseseznamem"/>
        <w:numPr>
          <w:ilvl w:val="0"/>
          <w:numId w:val="4"/>
        </w:numPr>
        <w:ind w:left="1134"/>
        <w:jc w:val="both"/>
        <w:rPr>
          <w:lang w:val="en-GB"/>
        </w:rPr>
      </w:pPr>
      <w:r>
        <w:rPr>
          <w:lang w:val="en-GB"/>
        </w:rPr>
        <w:t xml:space="preserve">30 calendar days after the signature of the agreement by both parties </w:t>
      </w:r>
    </w:p>
    <w:p w:rsidR="00975D4F" w:rsidRDefault="00975D4F" w:rsidP="00F7787E">
      <w:pPr>
        <w:pStyle w:val="Odstavecseseznamem"/>
        <w:numPr>
          <w:ilvl w:val="0"/>
          <w:numId w:val="4"/>
        </w:numPr>
        <w:ind w:left="1134"/>
        <w:jc w:val="both"/>
        <w:rPr>
          <w:lang w:val="en-GB"/>
        </w:rPr>
      </w:pPr>
      <w:r>
        <w:rPr>
          <w:lang w:val="en-GB"/>
        </w:rPr>
        <w:t>the start date of the mobility period or upon receipt of confirmation of arrival by the beneficiary</w:t>
      </w:r>
    </w:p>
    <w:p w:rsidR="001C7387" w:rsidRDefault="001C7387" w:rsidP="001C7387">
      <w:pPr>
        <w:pStyle w:val="Odstavecseseznamem"/>
        <w:ind w:left="1134"/>
        <w:jc w:val="both"/>
        <w:rPr>
          <w:lang w:val="en-GB"/>
        </w:rPr>
      </w:pPr>
    </w:p>
    <w:p w:rsidR="00975D4F" w:rsidRDefault="001C7387" w:rsidP="00F7787E">
      <w:pPr>
        <w:ind w:left="567"/>
        <w:jc w:val="both"/>
        <w:rPr>
          <w:shd w:val="clear" w:color="auto" w:fill="FFFF00"/>
          <w:lang w:val="en-GB"/>
        </w:rPr>
      </w:pPr>
      <w:r>
        <w:rPr>
          <w:lang w:val="en-GB"/>
        </w:rPr>
        <w:t>The pre-financing payment represen</w:t>
      </w:r>
      <w:r w:rsidR="00136DF0">
        <w:rPr>
          <w:lang w:val="en-GB"/>
        </w:rPr>
        <w:t>t</w:t>
      </w:r>
      <w:r>
        <w:rPr>
          <w:lang w:val="en-GB"/>
        </w:rPr>
        <w:t>s at least 70% of the amount specified in a</w:t>
      </w:r>
      <w:r w:rsidR="00975D4F">
        <w:rPr>
          <w:lang w:val="en-GB"/>
        </w:rPr>
        <w:t>rticle 3 per semester. In case the participant did not provide the supporting documents in time, according to the sending institution's timeline, a later payment of the pre-financing can be exceptionally accepted.</w:t>
      </w:r>
    </w:p>
    <w:p w:rsidR="00975D4F" w:rsidRDefault="00975D4F" w:rsidP="00F7787E">
      <w:pPr>
        <w:ind w:left="567"/>
        <w:jc w:val="both"/>
        <w:rPr>
          <w:shd w:val="clear" w:color="auto" w:fill="FFFF00"/>
          <w:lang w:val="en-GB"/>
        </w:rPr>
      </w:pPr>
    </w:p>
    <w:p w:rsidR="00975D4F" w:rsidRPr="00F7787E" w:rsidRDefault="00F7787E" w:rsidP="00F7787E">
      <w:pPr>
        <w:ind w:left="567" w:hanging="567"/>
        <w:jc w:val="both"/>
      </w:pPr>
      <w:r>
        <w:t>4.2</w:t>
      </w:r>
      <w:r>
        <w:tab/>
      </w:r>
      <w:r w:rsidR="00975D4F" w:rsidRPr="00F7787E">
        <w:t>Terms and conditions for payment:</w:t>
      </w:r>
    </w:p>
    <w:p w:rsidR="00975D4F" w:rsidRPr="00F7787E" w:rsidRDefault="00975D4F" w:rsidP="00F7787E">
      <w:pPr>
        <w:ind w:left="567"/>
        <w:jc w:val="both"/>
      </w:pPr>
      <w:r w:rsidRPr="00F7787E">
        <w:rPr>
          <w:b/>
        </w:rPr>
        <w:lastRenderedPageBreak/>
        <w:t>Method of payment:</w:t>
      </w:r>
      <w:r w:rsidR="00E150F0">
        <w:t xml:space="preserve"> </w:t>
      </w:r>
      <w:r w:rsidRPr="00F7787E">
        <w:t xml:space="preserve">transfer to the account </w:t>
      </w:r>
      <w:r w:rsidR="00E150F0">
        <w:t>as specified in Annex IV (Bank A</w:t>
      </w:r>
      <w:r w:rsidRPr="00F7787E">
        <w:t xml:space="preserve">ccount </w:t>
      </w:r>
      <w:r w:rsidR="00E150F0">
        <w:t xml:space="preserve">Details </w:t>
      </w:r>
      <w:r w:rsidRPr="00F7787E">
        <w:t>form)</w:t>
      </w:r>
    </w:p>
    <w:p w:rsidR="00975D4F" w:rsidRDefault="00975D4F">
      <w:pPr>
        <w:ind w:left="360"/>
        <w:jc w:val="both"/>
        <w:rPr>
          <w:shd w:val="clear" w:color="auto" w:fill="FFFF00"/>
          <w:lang w:val="en-US"/>
        </w:rPr>
      </w:pPr>
    </w:p>
    <w:p w:rsidR="00975D4F" w:rsidRPr="00F7787E" w:rsidRDefault="00975D4F" w:rsidP="00745C5E">
      <w:pPr>
        <w:ind w:left="567"/>
      </w:pPr>
      <w:r w:rsidRPr="00F7787E">
        <w:rPr>
          <w:b/>
        </w:rPr>
        <w:t>Instalment 1</w:t>
      </w:r>
      <w:r w:rsidRPr="00C64907">
        <w:rPr>
          <w:b/>
        </w:rPr>
        <w:t>:</w:t>
      </w:r>
      <w:r w:rsidR="00DF0B14" w:rsidRPr="00C64907">
        <w:t xml:space="preserve"> </w:t>
      </w:r>
      <w:r w:rsidRPr="00C64907">
        <w:t xml:space="preserve"> </w:t>
      </w:r>
      <w:r w:rsidR="00C72164">
        <w:t>0</w:t>
      </w:r>
      <w:r w:rsidRPr="00C64907">
        <w:t xml:space="preserve"> EUR</w:t>
      </w:r>
      <w:r w:rsidRPr="00F7787E">
        <w:t xml:space="preserve"> within 30 days of the signature of the agreement</w:t>
      </w:r>
      <w:r w:rsidR="00745C5E">
        <w:t xml:space="preserve"> (</w:t>
      </w:r>
      <w:r w:rsidR="00745C5E">
        <w:rPr>
          <w:lang w:val="en-GB"/>
        </w:rPr>
        <w:t>the date when the last of the two parties signs)</w:t>
      </w:r>
    </w:p>
    <w:p w:rsidR="00975D4F" w:rsidRDefault="00975D4F">
      <w:pPr>
        <w:ind w:left="567" w:hanging="567"/>
        <w:jc w:val="both"/>
        <w:rPr>
          <w:lang w:val="en-GB"/>
        </w:rPr>
      </w:pPr>
    </w:p>
    <w:p w:rsidR="00975D4F" w:rsidRDefault="00975D4F">
      <w:pPr>
        <w:rPr>
          <w:rFonts w:ascii="Arial" w:hAnsi="Arial" w:cs="Arial"/>
        </w:rPr>
      </w:pPr>
    </w:p>
    <w:p w:rsidR="00975D4F" w:rsidRDefault="00975D4F">
      <w:pPr>
        <w:rPr>
          <w:rFonts w:ascii="Arial" w:hAnsi="Arial" w:cs="Arial"/>
        </w:rPr>
      </w:pPr>
    </w:p>
    <w:p w:rsidR="00975D4F" w:rsidRDefault="00975D4F">
      <w:pPr>
        <w:pBdr>
          <w:bottom w:val="single" w:sz="4" w:space="1" w:color="000000"/>
        </w:pBdr>
        <w:jc w:val="both"/>
        <w:rPr>
          <w:lang w:val="cs-CZ"/>
        </w:rPr>
      </w:pPr>
      <w:r>
        <w:rPr>
          <w:lang w:val="en-GB"/>
        </w:rPr>
        <w:t>ARTICLE 5 – INSURANCE</w:t>
      </w:r>
    </w:p>
    <w:p w:rsidR="00975D4F" w:rsidRDefault="00975D4F" w:rsidP="00F7787E">
      <w:pPr>
        <w:keepNext/>
        <w:ind w:left="567" w:hanging="567"/>
        <w:jc w:val="both"/>
        <w:rPr>
          <w:sz w:val="22"/>
          <w:szCs w:val="22"/>
          <w:shd w:val="clear" w:color="auto" w:fill="FFFF00"/>
          <w:lang w:val="cs-CZ"/>
        </w:rPr>
      </w:pPr>
      <w:r>
        <w:rPr>
          <w:lang w:val="cs-CZ"/>
        </w:rPr>
        <w:t>5.1</w:t>
      </w:r>
      <w:r>
        <w:rPr>
          <w:lang w:val="cs-CZ"/>
        </w:rPr>
        <w:tab/>
      </w:r>
      <w:r>
        <w:rPr>
          <w:lang w:val="en-GB"/>
        </w:rPr>
        <w:t>The participant shall have adequate insurance coverage</w:t>
      </w:r>
      <w:r>
        <w:rPr>
          <w:lang w:val="cs-CZ"/>
        </w:rPr>
        <w:t xml:space="preserve">. </w:t>
      </w:r>
    </w:p>
    <w:p w:rsidR="00975D4F" w:rsidRPr="00F7787E" w:rsidRDefault="00F7787E" w:rsidP="00F7787E">
      <w:pPr>
        <w:ind w:left="567" w:hanging="567"/>
        <w:jc w:val="both"/>
      </w:pPr>
      <w:r>
        <w:t>5.2</w:t>
      </w:r>
      <w:r>
        <w:tab/>
      </w:r>
      <w:r w:rsidR="00975D4F" w:rsidRPr="00F7787E">
        <w:t xml:space="preserve">Medical expenses insurance and liability insurance (covering damage caused by the participant in the place of his/her study stay) are included in the travel insurance taken out by Palacký University (Insurance Contract No. 2000055471, Insurer: ERV pojišťovna, a.s.; for the terms of insurance and the scope of cover see </w:t>
      </w:r>
      <w:hyperlink r:id="rId12" w:history="1">
        <w:r w:rsidR="00975D4F" w:rsidRPr="00534AD9">
          <w:rPr>
            <w:rStyle w:val="Hypertextovodkaz"/>
            <w:color w:val="auto"/>
          </w:rPr>
          <w:t>http://www.iro.upol.cz/</w:t>
        </w:r>
      </w:hyperlink>
      <w:r w:rsidR="00975D4F" w:rsidRPr="00534AD9">
        <w:t xml:space="preserve"> </w:t>
      </w:r>
      <w:r w:rsidR="00975D4F" w:rsidRPr="00F7787E">
        <w:t xml:space="preserve">(Erasmus+). </w:t>
      </w:r>
    </w:p>
    <w:p w:rsidR="00975D4F" w:rsidRPr="00F7787E" w:rsidRDefault="00F7787E" w:rsidP="004E2C72">
      <w:pPr>
        <w:ind w:left="567" w:hanging="567"/>
        <w:jc w:val="both"/>
      </w:pPr>
      <w:r>
        <w:t>5.3</w:t>
      </w:r>
      <w:r>
        <w:tab/>
      </w:r>
      <w:r w:rsidR="004E2C72">
        <w:t>B</w:t>
      </w:r>
      <w:r w:rsidR="00975D4F" w:rsidRPr="00F7787E">
        <w:t xml:space="preserve">efore leaving for the study stay, the participant is obliged to contact Mr. Jiří Zapletal of the insurance broker Pojišťovací makléřství BOHEMIA, a.s., at </w:t>
      </w:r>
      <w:hyperlink r:id="rId13" w:history="1">
        <w:r w:rsidR="00975D4F" w:rsidRPr="00534AD9">
          <w:rPr>
            <w:rStyle w:val="Hypertextovodkaz"/>
            <w:color w:val="auto"/>
          </w:rPr>
          <w:t>jirka@zapletalovi.com</w:t>
        </w:r>
      </w:hyperlink>
      <w:r w:rsidR="00975D4F" w:rsidRPr="00534AD9">
        <w:t xml:space="preserve"> </w:t>
      </w:r>
      <w:r w:rsidR="00975D4F" w:rsidRPr="00F7787E">
        <w:t>and notify him of his/her name and</w:t>
      </w:r>
      <w:r w:rsidR="00667799">
        <w:t xml:space="preserve"> surname, date of birth</w:t>
      </w:r>
      <w:r w:rsidR="00975D4F" w:rsidRPr="00F7787E">
        <w:t xml:space="preserve">, place of study stay, date of departure and the number of months corresponding to the length of the stay. </w:t>
      </w:r>
    </w:p>
    <w:p w:rsidR="00975D4F" w:rsidRDefault="00975D4F">
      <w:pPr>
        <w:pStyle w:val="Zkladntextodsazen31"/>
        <w:ind w:left="357"/>
        <w:rPr>
          <w:sz w:val="20"/>
        </w:rPr>
      </w:pPr>
    </w:p>
    <w:p w:rsidR="00975D4F" w:rsidRDefault="00975D4F">
      <w:pPr>
        <w:tabs>
          <w:tab w:val="left" w:pos="567"/>
        </w:tabs>
        <w:ind w:left="567" w:hanging="567"/>
        <w:jc w:val="both"/>
        <w:rPr>
          <w:rFonts w:ascii="Arial" w:hAnsi="Arial" w:cs="Arial"/>
        </w:rPr>
      </w:pPr>
    </w:p>
    <w:p w:rsidR="00975D4F" w:rsidRDefault="00975D4F">
      <w:pPr>
        <w:ind w:left="567"/>
        <w:jc w:val="both"/>
        <w:rPr>
          <w:rFonts w:ascii="Arial" w:hAnsi="Arial" w:cs="Arial"/>
          <w:lang w:val="cs-CZ"/>
        </w:rPr>
      </w:pPr>
    </w:p>
    <w:p w:rsidR="00975D4F" w:rsidRDefault="00975D4F">
      <w:pPr>
        <w:pBdr>
          <w:bottom w:val="single" w:sz="4" w:space="1" w:color="000000"/>
        </w:pBdr>
        <w:rPr>
          <w:shd w:val="clear" w:color="auto" w:fill="FFFF00"/>
          <w:lang w:val="cs-CZ"/>
        </w:rPr>
      </w:pPr>
      <w:r>
        <w:rPr>
          <w:lang w:val="cs-CZ"/>
        </w:rPr>
        <w:t>ARTICLE 6 – ONLINE LINGUISTIC SUPPORT</w:t>
      </w:r>
    </w:p>
    <w:p w:rsidR="00975D4F" w:rsidRPr="00F7787E" w:rsidRDefault="00975D4F" w:rsidP="00F7787E">
      <w:pPr>
        <w:ind w:left="1440" w:hanging="720"/>
        <w:jc w:val="both"/>
      </w:pPr>
      <w:r w:rsidRPr="00F7787E">
        <w:t>6.1</w:t>
      </w:r>
      <w:r w:rsidRPr="00F7787E">
        <w:tab/>
        <w:t>If the main language of instruction is available in the OLS on-line system, the participant shall undergo an on-line language assessment before the mobility and at the end of the mobility period. Unless duly justified</w:t>
      </w:r>
      <w:r w:rsidR="00975EF3">
        <w:t xml:space="preserve"> (e.g. native speakers)</w:t>
      </w:r>
      <w:r w:rsidRPr="00F7787E">
        <w:t>, the completion of the on-line assessment is a necessary prerequisite for the mobility.</w:t>
      </w:r>
    </w:p>
    <w:p w:rsidR="00975D4F" w:rsidRPr="00F7787E" w:rsidRDefault="00975D4F" w:rsidP="00F7787E">
      <w:pPr>
        <w:ind w:left="720"/>
        <w:jc w:val="both"/>
      </w:pPr>
      <w:r w:rsidRPr="00F7787E">
        <w:t>6.2</w:t>
      </w:r>
      <w:r w:rsidRPr="00F7787E">
        <w:tab/>
      </w:r>
      <w:r w:rsidRPr="00F7787E">
        <w:rPr>
          <w:rFonts w:ascii="MS Mincho" w:eastAsia="MS Mincho" w:hAnsi="MS Mincho" w:cs="MS Mincho" w:hint="eastAsia"/>
        </w:rPr>
        <w:t>☐</w:t>
      </w:r>
      <w:r w:rsidRPr="00F7787E">
        <w:tab/>
        <w:t>The participant will not take part in the OLS on-line language course.</w:t>
      </w:r>
    </w:p>
    <w:p w:rsidR="00975D4F" w:rsidRPr="00F7787E" w:rsidRDefault="00C72164" w:rsidP="00F7787E">
      <w:pPr>
        <w:ind w:left="1440"/>
        <w:jc w:val="both"/>
      </w:pPr>
      <w:r>
        <w:rPr>
          <w:rFonts w:ascii="MS Mincho" w:eastAsia="MS Mincho" w:hAnsi="MS Mincho" w:cs="MS Mincho"/>
          <w:lang w:val="cs-CZ"/>
        </w:rPr>
        <w:t>x</w:t>
      </w:r>
      <w:r w:rsidR="00975D4F" w:rsidRPr="00F7787E">
        <w:tab/>
        <w:t>The participant will take part in th</w:t>
      </w:r>
      <w:r w:rsidR="00DB4893">
        <w:t>e OLS on-line</w:t>
      </w:r>
      <w:r w:rsidR="00975D4F" w:rsidRPr="00F7787E">
        <w:t xml:space="preserve"> language course</w:t>
      </w:r>
      <w:r w:rsidR="003F19B1">
        <w:t xml:space="preserve"> (</w:t>
      </w:r>
      <w:r w:rsidR="007A692E">
        <w:t>language</w:t>
      </w:r>
      <w:r w:rsidR="00DB4893">
        <w:t>)</w:t>
      </w:r>
      <w:r w:rsidR="00975D4F" w:rsidRPr="00F7787E">
        <w:t xml:space="preserve"> as soon as he or she has obtained login details for the system and shall fully endeavour to make the most of the service. The participant shall notify the institution without undue delay if he or she is not able to participate in the on-line course (before logging into the course for the first time).</w:t>
      </w:r>
    </w:p>
    <w:p w:rsidR="00975D4F" w:rsidRDefault="00975D4F">
      <w:pPr>
        <w:pBdr>
          <w:bottom w:val="single" w:sz="4" w:space="1" w:color="000000"/>
        </w:pBdr>
        <w:rPr>
          <w:rFonts w:ascii="Arial" w:hAnsi="Arial" w:cs="Arial"/>
          <w:lang w:val="cs-CZ"/>
        </w:rPr>
      </w:pPr>
    </w:p>
    <w:p w:rsidR="00975D4F" w:rsidRDefault="00975D4F">
      <w:pPr>
        <w:pBdr>
          <w:bottom w:val="single" w:sz="4" w:space="1" w:color="000000"/>
        </w:pBdr>
        <w:rPr>
          <w:shd w:val="clear" w:color="auto" w:fill="FFFF00"/>
          <w:lang w:val="en-GB"/>
        </w:rPr>
      </w:pPr>
      <w:r>
        <w:rPr>
          <w:lang w:val="en-GB"/>
        </w:rPr>
        <w:t xml:space="preserve">ARTICLE 7 – RECOGNITION </w:t>
      </w:r>
    </w:p>
    <w:p w:rsidR="00975D4F" w:rsidRPr="00F7787E" w:rsidRDefault="00975D4F" w:rsidP="00F7787E">
      <w:pPr>
        <w:ind w:left="720" w:hanging="720"/>
        <w:jc w:val="both"/>
      </w:pPr>
      <w:r w:rsidRPr="00F7787E">
        <w:t>7.1</w:t>
      </w:r>
      <w:r w:rsidRPr="00F7787E">
        <w:tab/>
        <w:t xml:space="preserve">Prior to the departure abroad, the participant shall specify his/her intended study programme (study plan) at the host institution, and shall submit the draft in written form to the sending and host institutions for approval. The approved study plan will constitute </w:t>
      </w:r>
      <w:r w:rsidRPr="00B176E5">
        <w:t>a</w:t>
      </w:r>
      <w:r w:rsidRPr="00F7787E">
        <w:rPr>
          <w:b/>
        </w:rPr>
        <w:t xml:space="preserve"> Learning Agreement for Studies</w:t>
      </w:r>
      <w:r w:rsidRPr="00F7787E">
        <w:t xml:space="preserve"> which is binding on all the parties. By signing the Learning Agreement, the participant undertakes to complete the chosen study programme and satisfy the minimum requirements set for outgoing students within the ERASMUS+ programme,</w:t>
      </w:r>
      <w:r w:rsidR="009B371A">
        <w:t xml:space="preserve"> i.e. to achieve a minimum of 20</w:t>
      </w:r>
      <w:r w:rsidRPr="00F7787E">
        <w:t xml:space="preserve"> ECTS credits per one semester. The participant shall ensure that all changes in the Learning Agreement are agreed upon in written form by both the sending and host institutions as soon as they take place. Modifications to the Learning Agreement made after the arrival of the student at the host institution must be reported </w:t>
      </w:r>
      <w:r w:rsidR="00DF669A">
        <w:t>within 5 weeks</w:t>
      </w:r>
      <w:r w:rsidRPr="00F7787E">
        <w:t xml:space="preserve"> of the </w:t>
      </w:r>
      <w:r w:rsidR="00DF669A">
        <w:t>commencement of each semester</w:t>
      </w:r>
      <w:r w:rsidRPr="00F7787E">
        <w:t xml:space="preserve"> at the latest. The obli</w:t>
      </w:r>
      <w:r w:rsidR="009B371A">
        <w:t>gation to obtain a minimum of 20</w:t>
      </w:r>
      <w:r w:rsidRPr="00F7787E">
        <w:t xml:space="preserve"> ECTS credits does not apply to students in doctoral study programmes, provided that they are sent abroad for scientific and/or research purposes. In such cases, the minimum requirements shall be indicated in the Learning Agreement or specified in an annex thereto.</w:t>
      </w:r>
    </w:p>
    <w:p w:rsidR="00975D4F" w:rsidRDefault="00975D4F">
      <w:pPr>
        <w:ind w:left="357"/>
        <w:jc w:val="both"/>
        <w:rPr>
          <w:shd w:val="clear" w:color="auto" w:fill="FFFF00"/>
          <w:lang w:val="en-US"/>
        </w:rPr>
      </w:pPr>
    </w:p>
    <w:p w:rsidR="00975D4F" w:rsidRDefault="00975D4F" w:rsidP="00F7787E">
      <w:pPr>
        <w:ind w:left="720" w:hanging="720"/>
        <w:jc w:val="both"/>
      </w:pPr>
      <w:r w:rsidRPr="00F7787E">
        <w:t>7.2</w:t>
      </w:r>
      <w:r w:rsidRPr="00F7787E">
        <w:tab/>
        <w:t>The academic recognition and record of obtained credits are governed by the internal rules and standards of the faculty where the participant studies. The recognition and records of the obtained credits fall within the jurisdiction of departments, institutes and offices of the respective faculties.</w:t>
      </w:r>
    </w:p>
    <w:p w:rsidR="00F7787E" w:rsidRPr="00F7787E" w:rsidRDefault="00F7787E" w:rsidP="00F7787E"/>
    <w:p w:rsidR="00975D4F" w:rsidRPr="00F7787E" w:rsidRDefault="00975D4F" w:rsidP="00F7787E">
      <w:r w:rsidRPr="00F7787E">
        <w:t>By signing the Learning Agreement, the sending institution declares that:</w:t>
      </w:r>
    </w:p>
    <w:p w:rsidR="00975D4F" w:rsidRPr="00F7787E" w:rsidRDefault="00975D4F" w:rsidP="00F7787E">
      <w:pPr>
        <w:pStyle w:val="Odstavecseseznamem"/>
        <w:numPr>
          <w:ilvl w:val="0"/>
          <w:numId w:val="7"/>
        </w:numPr>
      </w:pPr>
      <w:r w:rsidRPr="00F7787E">
        <w:t>it agrees to the chosen study programme of the participant,</w:t>
      </w:r>
    </w:p>
    <w:p w:rsidR="00975D4F" w:rsidRPr="00F7787E" w:rsidRDefault="00975D4F" w:rsidP="00F7787E">
      <w:pPr>
        <w:pStyle w:val="Odstavecseseznamem"/>
        <w:numPr>
          <w:ilvl w:val="0"/>
          <w:numId w:val="7"/>
        </w:numPr>
      </w:pPr>
      <w:r w:rsidRPr="00F7787E">
        <w:t>the chosen study programme is not at variance with the study plan of the participant at his/her home institution,</w:t>
      </w:r>
    </w:p>
    <w:p w:rsidR="00975D4F" w:rsidRPr="00F7787E" w:rsidRDefault="00975D4F" w:rsidP="00F7787E">
      <w:pPr>
        <w:pStyle w:val="Odstavecseseznamem"/>
        <w:numPr>
          <w:ilvl w:val="0"/>
          <w:numId w:val="7"/>
        </w:numPr>
      </w:pPr>
      <w:r w:rsidRPr="00F7787E">
        <w:t>it will ensure full recognition of studies completed at the host institution as a regular part of studies at the sending institution.</w:t>
      </w:r>
    </w:p>
    <w:p w:rsidR="00F7787E" w:rsidRDefault="00F7787E" w:rsidP="00F7787E"/>
    <w:p w:rsidR="00975D4F" w:rsidRDefault="00975D4F" w:rsidP="00F7787E">
      <w:pPr>
        <w:ind w:left="360"/>
      </w:pPr>
      <w:r w:rsidRPr="00F7787E">
        <w:t xml:space="preserve">Such recognition may only be denied if the participant fails to satisfy the requirements set by the host institution, or otherwise fails to meet the conditions required by the participating institutions for full recognition. In such cases, the participant may be requested to return the granted financial support. This provision does not apply if the participant’s failure to meet the required study requirements has been caused </w:t>
      </w:r>
      <w:r w:rsidRPr="00F7787E">
        <w:lastRenderedPageBreak/>
        <w:t>by circumstances which he/she could not have influenced and which he/she reported to the ERASMUS+ programme coordinator at the sending institution.</w:t>
      </w:r>
    </w:p>
    <w:p w:rsidR="00F7787E" w:rsidRDefault="00F7787E" w:rsidP="00F7787E">
      <w:pPr>
        <w:ind w:left="360"/>
        <w:rPr>
          <w:lang w:val="en-GB"/>
        </w:rPr>
      </w:pPr>
    </w:p>
    <w:p w:rsidR="00975D4F" w:rsidRPr="00F7787E" w:rsidRDefault="00975D4F">
      <w:pPr>
        <w:pBdr>
          <w:bottom w:val="single" w:sz="4" w:space="1" w:color="000000"/>
        </w:pBdr>
      </w:pPr>
      <w:r>
        <w:rPr>
          <w:lang w:val="en-GB"/>
        </w:rPr>
        <w:t xml:space="preserve">ARTICLE 8 – </w:t>
      </w:r>
      <w:r w:rsidRPr="00F7787E">
        <w:t>EU SURVEY</w:t>
      </w:r>
    </w:p>
    <w:p w:rsidR="00975D4F" w:rsidRDefault="00975D4F">
      <w:pPr>
        <w:tabs>
          <w:tab w:val="left" w:pos="567"/>
        </w:tabs>
        <w:ind w:left="567" w:hanging="567"/>
        <w:jc w:val="both"/>
        <w:rPr>
          <w:lang w:val="en-GB"/>
        </w:rPr>
      </w:pPr>
      <w:r>
        <w:rPr>
          <w:lang w:val="en-GB"/>
        </w:rPr>
        <w:t>8.1</w:t>
      </w:r>
      <w:r>
        <w:rPr>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975D4F" w:rsidRDefault="00975D4F">
      <w:pPr>
        <w:tabs>
          <w:tab w:val="left" w:pos="567"/>
        </w:tabs>
        <w:ind w:left="567" w:hanging="567"/>
        <w:jc w:val="both"/>
        <w:rPr>
          <w:shd w:val="clear" w:color="auto" w:fill="FFFF00"/>
          <w:lang w:val="en-GB"/>
        </w:rPr>
      </w:pPr>
      <w:r>
        <w:rPr>
          <w:lang w:val="en-GB"/>
        </w:rPr>
        <w:t>8.2</w:t>
      </w:r>
      <w:r>
        <w:rPr>
          <w:lang w:val="en-GB"/>
        </w:rPr>
        <w:tab/>
        <w:t>A complementary online survey may be sent to the participant allowing for full reporting on recognition issues.</w:t>
      </w:r>
    </w:p>
    <w:p w:rsidR="00975D4F" w:rsidRPr="00F7787E" w:rsidRDefault="00F7787E" w:rsidP="00F7787E">
      <w:r w:rsidRPr="00F7787E">
        <w:t>8.3</w:t>
      </w:r>
      <w:r>
        <w:t xml:space="preserve">      </w:t>
      </w:r>
      <w:r w:rsidR="00975D4F" w:rsidRPr="00F7787E">
        <w:t>After the mobility the participant shall deliver the following documents to the sending institution:</w:t>
      </w:r>
    </w:p>
    <w:p w:rsidR="00975D4F" w:rsidRPr="00F7787E" w:rsidRDefault="00975D4F" w:rsidP="00F7787E">
      <w:pPr>
        <w:ind w:left="567"/>
      </w:pPr>
      <w:r w:rsidRPr="00F7787E">
        <w:rPr>
          <w:b/>
        </w:rPr>
        <w:t>Confirmation of Erasmus Study Period</w:t>
      </w:r>
      <w:r w:rsidRPr="00F7787E">
        <w:t xml:space="preserve"> (stating the confirmed start and end dates of the duration of the mobility period) – within 15 days after the completion of the mobility;</w:t>
      </w:r>
    </w:p>
    <w:p w:rsidR="00975D4F" w:rsidRPr="00F7787E" w:rsidRDefault="00975D4F">
      <w:pPr>
        <w:tabs>
          <w:tab w:val="left" w:pos="567"/>
        </w:tabs>
        <w:ind w:left="567" w:hanging="567"/>
        <w:jc w:val="both"/>
      </w:pPr>
      <w:r>
        <w:rPr>
          <w:lang w:val="en-GB"/>
        </w:rPr>
        <w:tab/>
      </w:r>
      <w:r w:rsidRPr="00B176E5">
        <w:rPr>
          <w:b/>
        </w:rPr>
        <w:t>Transcript of Records</w:t>
      </w:r>
      <w:r w:rsidRPr="00F7787E">
        <w:t xml:space="preserve"> from the host institution (either as a confirmed part of the Learning Agreement or as a separate document) – without undue delay after the document has been issued by the host institution, and not later than one and a half months after the termination of the mobility period. If the Transcript of Records is at variance with the approved study plan at the host institution and the participant fails to meet the minimum requirements defined by the Learning Agreement, the sending institution shall consider the overall benefit of the mobility, and if applicable, impose penalties (e.g. return of the financial support in full or in part). For measures adopted in cases of failure to meet the study requirements defined by the</w:t>
      </w:r>
      <w:r>
        <w:rPr>
          <w:shd w:val="clear" w:color="auto" w:fill="FFFF00"/>
          <w:lang w:val="en-GB"/>
        </w:rPr>
        <w:t xml:space="preserve"> </w:t>
      </w:r>
      <w:r w:rsidRPr="00F7787E">
        <w:t xml:space="preserve">Learning Agreement, see </w:t>
      </w:r>
      <w:hyperlink r:id="rId14" w:history="1">
        <w:r w:rsidRPr="000C4B33">
          <w:rPr>
            <w:rStyle w:val="Hypertextovodkaz"/>
            <w:color w:val="auto"/>
            <w:u w:val="none"/>
          </w:rPr>
          <w:t>http://www.iro.upol.cz/</w:t>
        </w:r>
      </w:hyperlink>
      <w:r w:rsidRPr="00B176E5">
        <w:t xml:space="preserve"> </w:t>
      </w:r>
      <w:r w:rsidRPr="00F7787E">
        <w:t>(Erasmus+).</w:t>
      </w:r>
    </w:p>
    <w:p w:rsidR="00975D4F" w:rsidRDefault="00975D4F">
      <w:pPr>
        <w:tabs>
          <w:tab w:val="left" w:pos="567"/>
        </w:tabs>
        <w:ind w:left="567" w:hanging="567"/>
        <w:jc w:val="both"/>
        <w:rPr>
          <w:lang w:val="cs-CZ"/>
        </w:rPr>
      </w:pPr>
    </w:p>
    <w:p w:rsidR="00975D4F" w:rsidRDefault="00975D4F">
      <w:pPr>
        <w:tabs>
          <w:tab w:val="left" w:pos="567"/>
        </w:tabs>
        <w:ind w:left="567" w:hanging="567"/>
        <w:jc w:val="both"/>
        <w:rPr>
          <w:rFonts w:ascii="Arial" w:hAnsi="Arial" w:cs="Arial"/>
          <w:lang w:val="cs-CZ"/>
        </w:rPr>
      </w:pPr>
    </w:p>
    <w:p w:rsidR="00F7787E" w:rsidRPr="00F7787E" w:rsidRDefault="00975D4F" w:rsidP="00A05F02">
      <w:pPr>
        <w:pBdr>
          <w:bottom w:val="single" w:sz="4" w:space="1" w:color="auto"/>
        </w:pBdr>
      </w:pPr>
      <w:r w:rsidRPr="00F7787E">
        <w:t>ARTICLE 9 – OTHER PROVISIONS</w:t>
      </w:r>
    </w:p>
    <w:p w:rsidR="00975D4F" w:rsidRPr="00F7787E" w:rsidRDefault="00975D4F" w:rsidP="00A05F02">
      <w:pPr>
        <w:ind w:left="720" w:hanging="720"/>
      </w:pPr>
      <w:r w:rsidRPr="00F7787E">
        <w:t>9.1</w:t>
      </w:r>
      <w:r w:rsidRPr="00F7787E">
        <w:tab/>
        <w:t xml:space="preserve">The participant declares that he or she complies with the Erasmus+ eligibility requirements for study stays and that he or she has acquainted himself or herself with the General Conditions and the Erasmus Student Charter. For all these documents see http://www.iro.upol.cz/ (Erasmus+). </w:t>
      </w:r>
    </w:p>
    <w:p w:rsidR="00975D4F" w:rsidRPr="00F7787E" w:rsidRDefault="00975D4F" w:rsidP="00A05F02">
      <w:pPr>
        <w:ind w:left="720" w:hanging="720"/>
      </w:pPr>
      <w:r w:rsidRPr="00F7787E">
        <w:t>9.2</w:t>
      </w:r>
      <w:r w:rsidRPr="00F7787E">
        <w:tab/>
        <w:t xml:space="preserve">The participant agrees to notify the institution of any changes to the details stated in Articles 1.1 and 2.2 without undue delay. </w:t>
      </w:r>
    </w:p>
    <w:p w:rsidR="00975D4F" w:rsidRPr="00F7787E" w:rsidRDefault="00975D4F" w:rsidP="00DF669A">
      <w:pPr>
        <w:ind w:left="720" w:hanging="720"/>
      </w:pPr>
      <w:r w:rsidRPr="00F7787E">
        <w:t>9.3</w:t>
      </w:r>
      <w:r w:rsidRPr="00F7787E">
        <w:tab/>
        <w:t>Prior to the departure abr</w:t>
      </w:r>
      <w:r w:rsidR="00DF669A">
        <w:t xml:space="preserve">oad, the participant shall state </w:t>
      </w:r>
      <w:r w:rsidRPr="00F7787E">
        <w:t xml:space="preserve">the exact length of the </w:t>
      </w:r>
      <w:r w:rsidR="00DF669A">
        <w:t xml:space="preserve">study period in his/her profile at the Palacký University database, see </w:t>
      </w:r>
      <w:hyperlink r:id="rId15" w:history="1">
        <w:r w:rsidR="00DF669A" w:rsidRPr="00B176E5">
          <w:rPr>
            <w:rStyle w:val="Hypertextovodkaz"/>
            <w:color w:val="auto"/>
          </w:rPr>
          <w:t>http://erasmusplus.upol.cz</w:t>
        </w:r>
      </w:hyperlink>
      <w:r w:rsidR="00DF669A" w:rsidRPr="00B176E5">
        <w:t xml:space="preserve"> </w:t>
      </w:r>
    </w:p>
    <w:p w:rsidR="00975D4F" w:rsidRDefault="00975D4F">
      <w:pPr>
        <w:keepNext/>
        <w:tabs>
          <w:tab w:val="left" w:pos="567"/>
        </w:tabs>
        <w:ind w:left="567" w:hanging="567"/>
        <w:jc w:val="both"/>
        <w:rPr>
          <w:rFonts w:ascii="Arial" w:hAnsi="Arial" w:cs="Arial"/>
          <w:color w:val="C00000"/>
          <w:lang w:val="cs-CZ"/>
        </w:rPr>
      </w:pPr>
    </w:p>
    <w:p w:rsidR="00975D4F" w:rsidRDefault="00975D4F">
      <w:pPr>
        <w:pBdr>
          <w:bottom w:val="single" w:sz="4" w:space="1" w:color="000000"/>
        </w:pBdr>
        <w:rPr>
          <w:lang w:val="en-GB"/>
        </w:rPr>
      </w:pPr>
      <w:r>
        <w:rPr>
          <w:lang w:val="en-GB"/>
        </w:rPr>
        <w:t>ARTICLE 10 – LAW APPLICABLE AND COMPETENT COURT</w:t>
      </w:r>
    </w:p>
    <w:p w:rsidR="00975D4F" w:rsidRDefault="00975D4F">
      <w:pPr>
        <w:tabs>
          <w:tab w:val="left" w:pos="567"/>
        </w:tabs>
        <w:ind w:left="567" w:hanging="567"/>
        <w:jc w:val="both"/>
        <w:rPr>
          <w:lang w:val="en-GB"/>
        </w:rPr>
      </w:pPr>
      <w:r>
        <w:rPr>
          <w:lang w:val="en-GB"/>
        </w:rPr>
        <w:t>10.1</w:t>
      </w:r>
      <w:r>
        <w:rPr>
          <w:lang w:val="en-GB"/>
        </w:rPr>
        <w:tab/>
        <w:t>The agreement is governed by the national law of the Czech Republic.</w:t>
      </w:r>
    </w:p>
    <w:p w:rsidR="00975D4F" w:rsidRDefault="00975D4F">
      <w:pPr>
        <w:tabs>
          <w:tab w:val="left" w:pos="567"/>
        </w:tabs>
        <w:ind w:left="567" w:hanging="567"/>
        <w:jc w:val="both"/>
        <w:rPr>
          <w:rFonts w:ascii="Arial" w:hAnsi="Arial" w:cs="Arial"/>
          <w:color w:val="C00000"/>
          <w:lang w:val="cs-CZ"/>
        </w:rPr>
      </w:pPr>
      <w:r>
        <w:rPr>
          <w:lang w:val="en-GB"/>
        </w:rPr>
        <w:t>10.2</w:t>
      </w:r>
      <w:r>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975D4F" w:rsidRDefault="00975D4F">
      <w:pPr>
        <w:keepNext/>
        <w:tabs>
          <w:tab w:val="left" w:pos="567"/>
        </w:tabs>
        <w:ind w:left="567" w:hanging="567"/>
        <w:jc w:val="both"/>
        <w:rPr>
          <w:rFonts w:ascii="Arial" w:hAnsi="Arial" w:cs="Arial"/>
          <w:color w:val="C00000"/>
          <w:lang w:val="cs-CZ"/>
        </w:rPr>
      </w:pPr>
    </w:p>
    <w:p w:rsidR="00975D4F" w:rsidRDefault="00975D4F">
      <w:pPr>
        <w:ind w:left="5812" w:hanging="5812"/>
        <w:rPr>
          <w:rFonts w:ascii="Arial" w:hAnsi="Arial" w:cs="Arial"/>
          <w:lang w:val="cs-CZ"/>
        </w:rPr>
      </w:pPr>
      <w:r>
        <w:rPr>
          <w:rFonts w:ascii="Arial" w:hAnsi="Arial" w:cs="Arial"/>
          <w:lang w:val="cs-CZ"/>
        </w:rPr>
        <w:tab/>
      </w:r>
    </w:p>
    <w:p w:rsidR="00975D4F" w:rsidRDefault="00975D4F">
      <w:pPr>
        <w:ind w:left="5812" w:hanging="5812"/>
        <w:rPr>
          <w:rFonts w:ascii="Arial" w:hAnsi="Arial" w:cs="Arial"/>
          <w:lang w:val="cs-CZ"/>
        </w:rPr>
      </w:pPr>
    </w:p>
    <w:p w:rsidR="00975D4F" w:rsidRDefault="00975D4F">
      <w:pPr>
        <w:ind w:left="5812" w:hanging="5812"/>
        <w:rPr>
          <w:rFonts w:ascii="Arial" w:hAnsi="Arial" w:cs="Arial"/>
          <w:lang w:val="cs-CZ"/>
        </w:rPr>
      </w:pPr>
    </w:p>
    <w:p w:rsidR="00975D4F" w:rsidRDefault="00975D4F">
      <w:pPr>
        <w:ind w:left="5812" w:hanging="5812"/>
        <w:rPr>
          <w:rFonts w:ascii="Arial" w:hAnsi="Arial" w:cs="Arial"/>
          <w:lang w:val="cs-CZ"/>
        </w:rPr>
      </w:pPr>
    </w:p>
    <w:p w:rsidR="00975D4F" w:rsidRDefault="00975D4F">
      <w:pPr>
        <w:ind w:left="5812" w:hanging="5812"/>
        <w:rPr>
          <w:rFonts w:ascii="Arial" w:hAnsi="Arial" w:cs="Arial"/>
          <w:lang w:val="cs-CZ"/>
        </w:rPr>
      </w:pPr>
    </w:p>
    <w:p w:rsidR="00975D4F" w:rsidRDefault="00975D4F">
      <w:pPr>
        <w:ind w:left="5812" w:hanging="5812"/>
        <w:rPr>
          <w:rFonts w:ascii="Arial" w:hAnsi="Arial" w:cs="Arial"/>
          <w:lang w:val="cs-CZ"/>
        </w:rPr>
      </w:pPr>
    </w:p>
    <w:p w:rsidR="00975D4F" w:rsidRDefault="00975D4F">
      <w:pPr>
        <w:tabs>
          <w:tab w:val="left" w:pos="5670"/>
        </w:tabs>
        <w:rPr>
          <w:rFonts w:ascii="Arial" w:hAnsi="Arial" w:cs="Arial"/>
          <w:lang w:val="cs-CZ"/>
        </w:rPr>
      </w:pPr>
      <w:r>
        <w:rPr>
          <w:lang w:val="cs-CZ"/>
        </w:rPr>
        <w:t>Place and date:</w:t>
      </w:r>
      <w:r w:rsidR="00411120">
        <w:rPr>
          <w:lang w:val="cs-CZ"/>
        </w:rPr>
        <w:t xml:space="preserve"> Olomouc</w:t>
      </w:r>
      <w:r w:rsidR="009B371A">
        <w:rPr>
          <w:lang w:val="cs-CZ"/>
        </w:rPr>
        <w:t>,</w:t>
      </w:r>
      <w:r>
        <w:rPr>
          <w:lang w:val="cs-CZ"/>
        </w:rPr>
        <w:tab/>
        <w:t xml:space="preserve">Place and date: </w:t>
      </w:r>
      <w:r w:rsidR="007F5E19">
        <w:rPr>
          <w:lang w:val="cs-CZ"/>
        </w:rPr>
        <w:t xml:space="preserve">Olomouc, </w:t>
      </w:r>
    </w:p>
    <w:p w:rsidR="00975D4F" w:rsidRDefault="00975D4F">
      <w:pPr>
        <w:tabs>
          <w:tab w:val="left" w:pos="5670"/>
        </w:tabs>
        <w:rPr>
          <w:rFonts w:ascii="Arial" w:hAnsi="Arial" w:cs="Arial"/>
          <w:lang w:val="cs-CZ"/>
        </w:rPr>
      </w:pPr>
    </w:p>
    <w:p w:rsidR="00975D4F" w:rsidRDefault="00975D4F">
      <w:pPr>
        <w:tabs>
          <w:tab w:val="left" w:pos="5670"/>
        </w:tabs>
        <w:rPr>
          <w:rFonts w:ascii="Arial" w:hAnsi="Arial" w:cs="Arial"/>
          <w:lang w:val="cs-CZ"/>
        </w:rPr>
      </w:pPr>
    </w:p>
    <w:p w:rsidR="00975D4F" w:rsidRDefault="00975D4F">
      <w:pPr>
        <w:tabs>
          <w:tab w:val="left" w:pos="5670"/>
        </w:tabs>
        <w:rPr>
          <w:lang w:val="cs-CZ"/>
        </w:rPr>
      </w:pPr>
      <w:r>
        <w:rPr>
          <w:rFonts w:ascii="Arial" w:hAnsi="Arial" w:cs="Arial"/>
          <w:lang w:val="cs-CZ"/>
        </w:rPr>
        <w:t>______________________________</w:t>
      </w:r>
      <w:r>
        <w:rPr>
          <w:rFonts w:ascii="Arial" w:hAnsi="Arial" w:cs="Arial"/>
          <w:lang w:val="cs-CZ"/>
        </w:rPr>
        <w:tab/>
        <w:t>______________________________</w:t>
      </w:r>
    </w:p>
    <w:p w:rsidR="00975D4F" w:rsidRDefault="007A692E">
      <w:pPr>
        <w:tabs>
          <w:tab w:val="left" w:pos="5670"/>
        </w:tabs>
        <w:rPr>
          <w:lang w:val="cs-CZ"/>
        </w:rPr>
      </w:pPr>
      <w:r>
        <w:rPr>
          <w:lang w:val="cs-CZ"/>
        </w:rPr>
        <w:t xml:space="preserve">Name </w:t>
      </w:r>
      <w:r w:rsidR="00C6317E">
        <w:rPr>
          <w:lang w:val="cs-CZ"/>
        </w:rPr>
        <w:t>S</w:t>
      </w:r>
      <w:r>
        <w:rPr>
          <w:lang w:val="cs-CZ"/>
        </w:rPr>
        <w:t>urname</w:t>
      </w:r>
      <w:r w:rsidR="00975D4F">
        <w:rPr>
          <w:lang w:val="cs-CZ"/>
        </w:rPr>
        <w:tab/>
      </w:r>
      <w:r w:rsidR="00AB5874">
        <w:rPr>
          <w:lang w:val="cs-CZ"/>
        </w:rPr>
        <w:t>Lenka Haničáková</w:t>
      </w:r>
    </w:p>
    <w:p w:rsidR="00975D4F" w:rsidRDefault="00975D4F">
      <w:pPr>
        <w:tabs>
          <w:tab w:val="left" w:pos="5670"/>
        </w:tabs>
        <w:ind w:left="5812" w:hanging="5812"/>
        <w:rPr>
          <w:rFonts w:ascii="Arial" w:hAnsi="Arial" w:cs="Arial"/>
        </w:rPr>
      </w:pPr>
      <w:r>
        <w:rPr>
          <w:lang w:val="cs-CZ"/>
        </w:rPr>
        <w:t>Participant</w:t>
      </w:r>
      <w:r>
        <w:rPr>
          <w:lang w:val="cs-CZ"/>
        </w:rPr>
        <w:tab/>
        <w:t>Univerzita Palackého v Olomouci</w:t>
      </w:r>
    </w:p>
    <w:p w:rsidR="00975D4F" w:rsidRDefault="00975D4F">
      <w:pPr>
        <w:rPr>
          <w:rFonts w:ascii="Arial" w:hAnsi="Arial" w:cs="Arial"/>
        </w:rPr>
      </w:pPr>
    </w:p>
    <w:p w:rsidR="00975D4F" w:rsidRDefault="00975D4F">
      <w:pPr>
        <w:sectPr w:rsidR="00975D4F">
          <w:headerReference w:type="default" r:id="rId16"/>
          <w:footerReference w:type="even" r:id="rId17"/>
          <w:footerReference w:type="default" r:id="rId18"/>
          <w:headerReference w:type="first" r:id="rId19"/>
          <w:footerReference w:type="first" r:id="rId20"/>
          <w:pgSz w:w="11906" w:h="16838"/>
          <w:pgMar w:top="1134" w:right="1418" w:bottom="1134" w:left="1418" w:header="720" w:footer="720" w:gutter="0"/>
          <w:cols w:space="708"/>
          <w:docGrid w:linePitch="600" w:charSpace="40960"/>
        </w:sectPr>
      </w:pPr>
    </w:p>
    <w:p w:rsidR="00975D4F" w:rsidRDefault="00975D4F" w:rsidP="007A692E">
      <w:pPr>
        <w:tabs>
          <w:tab w:val="left" w:pos="360"/>
        </w:tabs>
      </w:pPr>
    </w:p>
    <w:sectPr w:rsidR="00975D4F">
      <w:headerReference w:type="even" r:id="rId21"/>
      <w:headerReference w:type="default" r:id="rId22"/>
      <w:footerReference w:type="even" r:id="rId23"/>
      <w:footerReference w:type="default" r:id="rId24"/>
      <w:headerReference w:type="first" r:id="rId25"/>
      <w:footerReference w:type="first" r:id="rId26"/>
      <w:pgSz w:w="11906" w:h="16838"/>
      <w:pgMar w:top="1134" w:right="1418" w:bottom="1134" w:left="1418" w:header="708" w:footer="72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18" w:rsidRDefault="00C27918">
      <w:r>
        <w:separator/>
      </w:r>
    </w:p>
  </w:endnote>
  <w:endnote w:type="continuationSeparator" w:id="0">
    <w:p w:rsidR="00C27918" w:rsidRDefault="00C2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23355C">
    <w:pPr>
      <w:pStyle w:val="Zpat"/>
      <w:ind w:right="360"/>
      <w:rPr>
        <w:szCs w:val="24"/>
      </w:rPr>
    </w:pPr>
    <w:r>
      <w:rPr>
        <w:noProof/>
        <w:lang w:val="cs-CZ" w:eastAsia="cs-CZ"/>
      </w:rPr>
      <mc:AlternateContent>
        <mc:Choice Requires="wps">
          <w:drawing>
            <wp:anchor distT="0" distB="0" distL="0" distR="0" simplePos="0" relativeHeight="251657728" behindDoc="0" locked="0" layoutInCell="1" allowOverlap="1">
              <wp:simplePos x="0" y="0"/>
              <wp:positionH relativeFrom="page">
                <wp:posOffset>3481070</wp:posOffset>
              </wp:positionH>
              <wp:positionV relativeFrom="paragraph">
                <wp:posOffset>83185</wp:posOffset>
              </wp:positionV>
              <wp:extent cx="63500" cy="14605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D4F" w:rsidRDefault="00975D4F">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1pt;margin-top:6.5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" stroked="f">
              <v:fill opacity="0"/>
              <v:textbox inset="0,0,0,0">
                <w:txbxContent>
                  <w:p w:rsidR="00975D4F" w:rsidRDefault="00975D4F">
                    <w:pPr>
                      <w:pStyle w:val="Zpat"/>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975D4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23355C">
    <w:pPr>
      <w:pStyle w:val="Zpat"/>
      <w:ind w:right="360"/>
      <w:rPr>
        <w:szCs w:val="24"/>
      </w:rPr>
    </w:pPr>
    <w:r>
      <w:rPr>
        <w:noProof/>
        <w:lang w:val="cs-CZ" w:eastAsia="cs-CZ"/>
      </w:rPr>
      <mc:AlternateContent>
        <mc:Choice Requires="wps">
          <w:drawing>
            <wp:anchor distT="0" distB="0" distL="0" distR="0" simplePos="0" relativeHeight="251658752" behindDoc="0" locked="0" layoutInCell="1" allowOverlap="1">
              <wp:simplePos x="0" y="0"/>
              <wp:positionH relativeFrom="page">
                <wp:posOffset>3481070</wp:posOffset>
              </wp:positionH>
              <wp:positionV relativeFrom="paragraph">
                <wp:posOffset>83185</wp:posOffset>
              </wp:positionV>
              <wp:extent cx="63500" cy="146050"/>
              <wp:effectExtent l="0" t="0" r="0" b="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D4F" w:rsidRDefault="00975D4F">
                          <w:pPr>
                            <w:pStyle w:val="Zpat"/>
                          </w:pPr>
                          <w:r>
                            <w:rPr>
                              <w:rStyle w:val="slostrnky"/>
                              <w:szCs w:val="24"/>
                            </w:rPr>
                            <w:fldChar w:fldCharType="begin"/>
                          </w:r>
                          <w:r>
                            <w:rPr>
                              <w:rStyle w:val="slostrnky"/>
                              <w:szCs w:val="24"/>
                            </w:rPr>
                            <w:instrText xml:space="preserve"> PAGE </w:instrText>
                          </w:r>
                          <w:r>
                            <w:rPr>
                              <w:rStyle w:val="slostrnky"/>
                              <w:szCs w:val="24"/>
                            </w:rPr>
                            <w:fldChar w:fldCharType="separate"/>
                          </w:r>
                          <w:r w:rsidR="00BC1E87">
                            <w:rPr>
                              <w:rStyle w:val="slostrnky"/>
                              <w:noProof/>
                              <w:szCs w:val="24"/>
                            </w:rPr>
                            <w:t>3</w:t>
                          </w:r>
                          <w:r>
                            <w:rPr>
                              <w:rStyle w:val="slostrnky"/>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4.1pt;margin-top:6.55pt;width:5pt;height:1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" stroked="f">
              <v:fill opacity="0"/>
              <v:textbox inset="0,0,0,0">
                <w:txbxContent>
                  <w:p w:rsidR="00975D4F" w:rsidRDefault="00975D4F">
                    <w:pPr>
                      <w:pStyle w:val="Zpat"/>
                    </w:pPr>
                    <w:r>
                      <w:rPr>
                        <w:rStyle w:val="slostrnky"/>
                        <w:szCs w:val="24"/>
                      </w:rPr>
                      <w:fldChar w:fldCharType="begin"/>
                    </w:r>
                    <w:r>
                      <w:rPr>
                        <w:rStyle w:val="slostrnky"/>
                        <w:szCs w:val="24"/>
                      </w:rPr>
                      <w:instrText xml:space="preserve"> PAGE </w:instrText>
                    </w:r>
                    <w:r>
                      <w:rPr>
                        <w:rStyle w:val="slostrnky"/>
                        <w:szCs w:val="24"/>
                      </w:rPr>
                      <w:fldChar w:fldCharType="separate"/>
                    </w:r>
                    <w:r w:rsidR="00BC1E87">
                      <w:rPr>
                        <w:rStyle w:val="slostrnky"/>
                        <w:noProof/>
                        <w:szCs w:val="24"/>
                      </w:rPr>
                      <w:t>3</w:t>
                    </w:r>
                    <w:r>
                      <w:rPr>
                        <w:rStyle w:val="slostrnky"/>
                        <w:szCs w:val="24"/>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975D4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975D4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23355C">
    <w:pPr>
      <w:pStyle w:val="Zpat"/>
      <w:ind w:right="360"/>
      <w:rPr>
        <w:szCs w:val="24"/>
      </w:rPr>
    </w:pPr>
    <w:r>
      <w:rPr>
        <w:noProof/>
        <w:lang w:val="cs-CZ" w:eastAsia="cs-CZ"/>
      </w:rPr>
      <mc:AlternateContent>
        <mc:Choice Requires="wps">
          <w:drawing>
            <wp:anchor distT="0" distB="0" distL="0" distR="0" simplePos="0" relativeHeight="251656704" behindDoc="0" locked="0" layoutInCell="1" allowOverlap="1">
              <wp:simplePos x="0" y="0"/>
              <wp:positionH relativeFrom="page">
                <wp:posOffset>3481070</wp:posOffset>
              </wp:positionH>
              <wp:positionV relativeFrom="paragraph">
                <wp:posOffset>83185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D4F" w:rsidRDefault="00975D4F">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4.1pt;margin-top:6.55pt;width:5pt;height:1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e8iwIAACEFAAAOAAAAZHJzL2Uyb0RvYy54bWysVNuO2yAQfa/Uf0C8Z22nTja21lntpakq&#10;bS/Sbj+AAI5RMVAgsber/nsHiNP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" stroked="f">
              <v:fill opacity="0"/>
              <v:textbox inset="0,0,0,0">
                <w:txbxContent>
                  <w:p w:rsidR="00975D4F" w:rsidRDefault="00975D4F">
                    <w:pPr>
                      <w:pStyle w:val="Zpat"/>
                    </w:pP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975D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18" w:rsidRDefault="00C27918">
      <w:r>
        <w:separator/>
      </w:r>
    </w:p>
  </w:footnote>
  <w:footnote w:type="continuationSeparator" w:id="0">
    <w:p w:rsidR="00C27918" w:rsidRDefault="00C27918">
      <w:r>
        <w:continuationSeparator/>
      </w:r>
    </w:p>
  </w:footnote>
  <w:footnote w:id="1">
    <w:p w:rsidR="00975D4F" w:rsidRDefault="00975D4F">
      <w:r>
        <w:rPr>
          <w:rStyle w:val="FootnoteCharacters"/>
        </w:rPr>
        <w:footnoteRef/>
      </w:r>
      <w:r w:rsidR="001D3479">
        <w:t xml:space="preserve"> </w:t>
      </w:r>
      <w:r>
        <w:rPr>
          <w:lang w:val="en-US"/>
        </w:rPr>
        <w:t>The definition is available at the website : http://www.naerasmusplus.cz/cz/mobilita-osob-vysokoskolske-vzdelavani/studenti-ze-znevyhodneneho-socio-ekonomickeho-prostredi/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8747E6">
    <w:pPr>
      <w:pStyle w:val="Zhlav"/>
      <w:jc w:val="right"/>
    </w:pPr>
    <w:r>
      <w:rPr>
        <w:sz w:val="20"/>
        <w:szCs w:val="24"/>
        <w:lang w:val="cs-CZ"/>
      </w:rPr>
      <w:t>Agreement</w:t>
    </w:r>
    <w:r w:rsidR="00A14752">
      <w:rPr>
        <w:sz w:val="20"/>
        <w:szCs w:val="24"/>
        <w:lang w:val="cs-CZ"/>
      </w:rPr>
      <w:t xml:space="preserve"> No.: 201</w:t>
    </w:r>
    <w:r w:rsidR="00AB5874">
      <w:rPr>
        <w:sz w:val="20"/>
        <w:szCs w:val="24"/>
        <w:lang w:val="cs-CZ"/>
      </w:rPr>
      <w:t>9-2020</w:t>
    </w:r>
    <w:r w:rsidR="002C0BB2">
      <w:rPr>
        <w:sz w:val="20"/>
        <w:szCs w:val="24"/>
        <w:lang w:val="cs-CZ"/>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975D4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975D4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975D4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4F" w:rsidRDefault="00975D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decimal"/>
      <w:pStyle w:val="articletitle"/>
      <w:lvlText w:val="ARTICLE I.%1"/>
      <w:lvlJc w:val="left"/>
      <w:pPr>
        <w:tabs>
          <w:tab w:val="num" w:pos="0"/>
        </w:tabs>
        <w:ind w:left="360" w:hanging="360"/>
      </w:pPr>
      <w:rPr>
        <w:rFonts w:hint="default"/>
      </w:rPr>
    </w:lvl>
    <w:lvl w:ilvl="1">
      <w:start w:val="1"/>
      <w:numFmt w:val="decimal"/>
      <w:lvlText w:val="I.%1.%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3"/>
    <w:multiLevelType w:val="singleLevel"/>
    <w:tmpl w:val="00000003"/>
    <w:name w:val="WW8Num9"/>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00000005"/>
    <w:lvl w:ilvl="0">
      <w:start w:val="1"/>
      <w:numFmt w:val="decimal"/>
      <w:pStyle w:val="paragraph"/>
      <w:lvlText w:val="ARTICLE I.%1"/>
      <w:lvlJc w:val="left"/>
      <w:pPr>
        <w:tabs>
          <w:tab w:val="num" w:pos="0"/>
        </w:tabs>
        <w:ind w:left="360" w:hanging="360"/>
      </w:pPr>
      <w:rPr>
        <w:rFonts w:hint="default"/>
        <w:b/>
        <w:i w:val="0"/>
      </w:rPr>
    </w:lvl>
    <w:lvl w:ilvl="1">
      <w:start w:val="1"/>
      <w:numFmt w:val="decimal"/>
      <w:lvlText w:val="I.%1.%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0000006"/>
    <w:multiLevelType w:val="multilevel"/>
    <w:tmpl w:val="00000006"/>
    <w:name w:val="WW8StyleNum"/>
    <w:lvl w:ilvl="0">
      <w:start w:val="1"/>
      <w:numFmt w:val="decimal"/>
      <w:pStyle w:val="Zkladntext2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6CD5E42"/>
    <w:multiLevelType w:val="hybridMultilevel"/>
    <w:tmpl w:val="4956B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08"/>
    <w:rsid w:val="00046666"/>
    <w:rsid w:val="000C4B33"/>
    <w:rsid w:val="001019A7"/>
    <w:rsid w:val="00136DF0"/>
    <w:rsid w:val="00140495"/>
    <w:rsid w:val="00150D7C"/>
    <w:rsid w:val="001675F8"/>
    <w:rsid w:val="00195785"/>
    <w:rsid w:val="001B5B36"/>
    <w:rsid w:val="001B6B08"/>
    <w:rsid w:val="001C7387"/>
    <w:rsid w:val="001D3479"/>
    <w:rsid w:val="00211457"/>
    <w:rsid w:val="0023355C"/>
    <w:rsid w:val="002C0BB2"/>
    <w:rsid w:val="002C48C3"/>
    <w:rsid w:val="00320A08"/>
    <w:rsid w:val="003342EA"/>
    <w:rsid w:val="00357ECA"/>
    <w:rsid w:val="0037388F"/>
    <w:rsid w:val="00397623"/>
    <w:rsid w:val="003D4774"/>
    <w:rsid w:val="003E3273"/>
    <w:rsid w:val="003F19B1"/>
    <w:rsid w:val="00411120"/>
    <w:rsid w:val="004331A3"/>
    <w:rsid w:val="00436388"/>
    <w:rsid w:val="00443B84"/>
    <w:rsid w:val="0047057B"/>
    <w:rsid w:val="004B620F"/>
    <w:rsid w:val="004E2C72"/>
    <w:rsid w:val="004F07CB"/>
    <w:rsid w:val="005019E2"/>
    <w:rsid w:val="00534AD9"/>
    <w:rsid w:val="00541F59"/>
    <w:rsid w:val="006042C8"/>
    <w:rsid w:val="00641496"/>
    <w:rsid w:val="00657507"/>
    <w:rsid w:val="00667799"/>
    <w:rsid w:val="006E2303"/>
    <w:rsid w:val="006E6DE1"/>
    <w:rsid w:val="006E74E9"/>
    <w:rsid w:val="00745851"/>
    <w:rsid w:val="00745C5E"/>
    <w:rsid w:val="00750EBE"/>
    <w:rsid w:val="007A692E"/>
    <w:rsid w:val="007F5E19"/>
    <w:rsid w:val="00853588"/>
    <w:rsid w:val="008747E6"/>
    <w:rsid w:val="00886FD6"/>
    <w:rsid w:val="008A2AAE"/>
    <w:rsid w:val="008E50D4"/>
    <w:rsid w:val="0090721F"/>
    <w:rsid w:val="009265DE"/>
    <w:rsid w:val="00956A36"/>
    <w:rsid w:val="00961513"/>
    <w:rsid w:val="00975D4F"/>
    <w:rsid w:val="00975EF3"/>
    <w:rsid w:val="009B371A"/>
    <w:rsid w:val="00A05F02"/>
    <w:rsid w:val="00A14752"/>
    <w:rsid w:val="00A3279F"/>
    <w:rsid w:val="00A46C07"/>
    <w:rsid w:val="00A72D08"/>
    <w:rsid w:val="00AA4A30"/>
    <w:rsid w:val="00AB5874"/>
    <w:rsid w:val="00AD3124"/>
    <w:rsid w:val="00B176E5"/>
    <w:rsid w:val="00B36F13"/>
    <w:rsid w:val="00B65D7F"/>
    <w:rsid w:val="00B67476"/>
    <w:rsid w:val="00BB5206"/>
    <w:rsid w:val="00BC1E87"/>
    <w:rsid w:val="00BE54D4"/>
    <w:rsid w:val="00C00D3E"/>
    <w:rsid w:val="00C15C0B"/>
    <w:rsid w:val="00C27918"/>
    <w:rsid w:val="00C356D2"/>
    <w:rsid w:val="00C6317E"/>
    <w:rsid w:val="00C64907"/>
    <w:rsid w:val="00C72164"/>
    <w:rsid w:val="00C80893"/>
    <w:rsid w:val="00D3612A"/>
    <w:rsid w:val="00D46E4B"/>
    <w:rsid w:val="00DA3CB0"/>
    <w:rsid w:val="00DB4893"/>
    <w:rsid w:val="00DE07E0"/>
    <w:rsid w:val="00DF0B14"/>
    <w:rsid w:val="00DF669A"/>
    <w:rsid w:val="00E150F0"/>
    <w:rsid w:val="00E44AFA"/>
    <w:rsid w:val="00E5482B"/>
    <w:rsid w:val="00EC453A"/>
    <w:rsid w:val="00EF63F5"/>
    <w:rsid w:val="00F31E22"/>
    <w:rsid w:val="00F63E7C"/>
    <w:rsid w:val="00F7787E"/>
    <w:rsid w:val="00F87C6F"/>
    <w:rsid w:val="00FE527B"/>
    <w:rsid w:val="00FE52BA"/>
    <w:rsid w:val="00FE5E2B"/>
    <w:rsid w:val="00FF5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5B2FF7"/>
  <w15:docId w15:val="{FA8F3B0C-A28E-4475-926D-D6DC6D0F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val="fr-FR" w:eastAsia="ar-SA"/>
    </w:rPr>
  </w:style>
  <w:style w:type="paragraph" w:styleId="Nadpis1">
    <w:name w:val="heading 1"/>
    <w:basedOn w:val="Normln"/>
    <w:next w:val="Text1"/>
    <w:qFormat/>
    <w:pPr>
      <w:keepNext/>
      <w:numPr>
        <w:numId w:val="1"/>
      </w:numPr>
      <w:spacing w:before="240" w:after="240"/>
      <w:jc w:val="both"/>
      <w:outlineLvl w:val="0"/>
    </w:pPr>
    <w:rPr>
      <w:b/>
      <w:smallCaps/>
      <w:sz w:val="24"/>
    </w:rPr>
  </w:style>
  <w:style w:type="paragraph" w:styleId="Nadpis2">
    <w:name w:val="heading 2"/>
    <w:basedOn w:val="Normln"/>
    <w:next w:val="Text2"/>
    <w:qFormat/>
    <w:pPr>
      <w:keepNext/>
      <w:numPr>
        <w:ilvl w:val="1"/>
        <w:numId w:val="1"/>
      </w:numPr>
      <w:spacing w:after="240"/>
      <w:jc w:val="both"/>
      <w:outlineLvl w:val="1"/>
    </w:pPr>
    <w:rPr>
      <w:b/>
      <w:sz w:val="24"/>
    </w:rPr>
  </w:style>
  <w:style w:type="paragraph" w:styleId="Nadpis3">
    <w:name w:val="heading 3"/>
    <w:basedOn w:val="Normln"/>
    <w:next w:val="Text3"/>
    <w:qFormat/>
    <w:pPr>
      <w:keepNext/>
      <w:numPr>
        <w:ilvl w:val="2"/>
        <w:numId w:val="1"/>
      </w:numPr>
      <w:spacing w:after="240"/>
      <w:jc w:val="both"/>
      <w:outlineLvl w:val="2"/>
    </w:pPr>
    <w:rPr>
      <w:i/>
      <w:sz w:val="24"/>
    </w:rPr>
  </w:style>
  <w:style w:type="paragraph" w:styleId="Nadpis4">
    <w:name w:val="heading 4"/>
    <w:basedOn w:val="Normln"/>
    <w:next w:val="Text4"/>
    <w:qFormat/>
    <w:pPr>
      <w:keepNext/>
      <w:numPr>
        <w:ilvl w:val="3"/>
        <w:numId w:val="1"/>
      </w:numPr>
      <w:spacing w:after="240"/>
      <w:jc w:val="both"/>
      <w:outlineLvl w:val="3"/>
    </w:pPr>
    <w:rPr>
      <w:sz w:val="24"/>
    </w:rPr>
  </w:style>
  <w:style w:type="paragraph" w:styleId="Nadpis5">
    <w:name w:val="heading 5"/>
    <w:basedOn w:val="Normln"/>
    <w:next w:val="Normln"/>
    <w:qFormat/>
    <w:pPr>
      <w:numPr>
        <w:ilvl w:val="4"/>
        <w:numId w:val="1"/>
      </w:numPr>
      <w:spacing w:before="240" w:after="60"/>
      <w:jc w:val="both"/>
      <w:outlineLvl w:val="4"/>
    </w:pPr>
    <w:rPr>
      <w:rFonts w:ascii="Arial" w:hAnsi="Arial" w:cs="Arial"/>
      <w:sz w:val="22"/>
    </w:rPr>
  </w:style>
  <w:style w:type="paragraph" w:styleId="Nadpis6">
    <w:name w:val="heading 6"/>
    <w:basedOn w:val="Normln"/>
    <w:next w:val="Normln"/>
    <w:qFormat/>
    <w:pPr>
      <w:numPr>
        <w:ilvl w:val="5"/>
        <w:numId w:val="1"/>
      </w:numPr>
      <w:spacing w:before="240" w:after="60"/>
      <w:jc w:val="both"/>
      <w:outlineLvl w:val="5"/>
    </w:pPr>
    <w:rPr>
      <w:rFonts w:ascii="Arial" w:hAnsi="Arial" w:cs="Arial"/>
      <w:i/>
      <w:sz w:val="22"/>
    </w:rPr>
  </w:style>
  <w:style w:type="paragraph" w:styleId="Nadpis7">
    <w:name w:val="heading 7"/>
    <w:basedOn w:val="Normln"/>
    <w:next w:val="Normln"/>
    <w:qFormat/>
    <w:pPr>
      <w:numPr>
        <w:ilvl w:val="6"/>
        <w:numId w:val="1"/>
      </w:numPr>
      <w:spacing w:before="240" w:after="60"/>
      <w:jc w:val="both"/>
      <w:outlineLvl w:val="6"/>
    </w:pPr>
    <w:rPr>
      <w:rFonts w:ascii="Arial" w:hAnsi="Arial" w:cs="Arial"/>
    </w:rPr>
  </w:style>
  <w:style w:type="paragraph" w:styleId="Nadpis8">
    <w:name w:val="heading 8"/>
    <w:basedOn w:val="Normln"/>
    <w:next w:val="Normln"/>
    <w:qFormat/>
    <w:pPr>
      <w:numPr>
        <w:ilvl w:val="7"/>
        <w:numId w:val="1"/>
      </w:numPr>
      <w:spacing w:before="240" w:after="60"/>
      <w:jc w:val="both"/>
      <w:outlineLvl w:val="7"/>
    </w:pPr>
    <w:rPr>
      <w:rFonts w:ascii="Arial" w:hAnsi="Arial" w:cs="Arial"/>
      <w:i/>
    </w:rPr>
  </w:style>
  <w:style w:type="paragraph" w:styleId="Nadpis9">
    <w:name w:val="heading 9"/>
    <w:basedOn w:val="Normln"/>
    <w:next w:val="Normln"/>
    <w:qFormat/>
    <w:pPr>
      <w:numPr>
        <w:ilvl w:val="8"/>
        <w:numId w:val="1"/>
      </w:numPr>
      <w:spacing w:before="240" w:after="60"/>
      <w:jc w:val="both"/>
      <w:outlineLvl w:val="8"/>
    </w:pPr>
    <w:rPr>
      <w:rFonts w:ascii="Arial" w:hAnsi="Arial" w:cs="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cs="Times New Roman"/>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5z2">
    <w:name w:val="WW8Num5z2"/>
    <w:rPr>
      <w:rFonts w:ascii="Times New Roman" w:hAnsi="Times New Roman" w:cs="Times New Roman"/>
    </w:rPr>
  </w:style>
  <w:style w:type="character" w:customStyle="1" w:styleId="WW8Num5z3">
    <w:name w:val="WW8Num5z3"/>
    <w:rPr>
      <w:rFonts w:ascii="Symbol" w:hAnsi="Symbol" w:cs="Symbol"/>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style>
  <w:style w:type="character" w:customStyle="1" w:styleId="WW8Num11z0">
    <w:name w:val="WW8Num11z0"/>
    <w:rPr>
      <w:rFonts w:ascii="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Times New Roman"/>
    </w:rPr>
  </w:style>
  <w:style w:type="character" w:customStyle="1" w:styleId="WW8NumSt7z0">
    <w:name w:val="WW8NumSt7z0"/>
    <w:rPr>
      <w:rFonts w:hint="default"/>
      <w:b/>
      <w:i w:val="0"/>
    </w:rPr>
  </w:style>
  <w:style w:type="character" w:customStyle="1" w:styleId="Standardnpsmoodstavce1">
    <w:name w:val="Standardní písmo odstavce1"/>
  </w:style>
  <w:style w:type="character" w:customStyle="1" w:styleId="FootnoteCharacters">
    <w:name w:val="Footnote Characters"/>
    <w:rPr>
      <w:rFonts w:cs="Times New Roman"/>
    </w:rPr>
  </w:style>
  <w:style w:type="character" w:styleId="slostrnky">
    <w:name w:val="page number"/>
    <w:rPr>
      <w:rFonts w:cs="Times New Roman"/>
    </w:rPr>
  </w:style>
  <w:style w:type="character" w:styleId="Zdraznn">
    <w:name w:val="Emphasis"/>
    <w:qFormat/>
    <w:rPr>
      <w:rFonts w:cs="Times New Roman"/>
      <w:i/>
    </w:rPr>
  </w:style>
  <w:style w:type="character" w:styleId="Hypertextovodkaz">
    <w:name w:val="Hyperlink"/>
    <w:rPr>
      <w:rFonts w:cs="Times New Roman"/>
      <w:color w:val="0000FF"/>
      <w:u w:val="single"/>
    </w:rPr>
  </w:style>
  <w:style w:type="character" w:styleId="Siln">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cs-CZ"/>
    </w:rPr>
  </w:style>
  <w:style w:type="character" w:customStyle="1" w:styleId="tw4winJump">
    <w:name w:val="tw4winJump"/>
    <w:rPr>
      <w:color w:val="008080"/>
      <w:lang w:val="cs-CZ"/>
    </w:rPr>
  </w:style>
  <w:style w:type="character" w:customStyle="1" w:styleId="tw4winExternal">
    <w:name w:val="tw4winExternal"/>
    <w:rPr>
      <w:color w:val="808080"/>
      <w:lang w:val="cs-CZ"/>
    </w:rPr>
  </w:style>
  <w:style w:type="character" w:customStyle="1" w:styleId="tw4winInternal">
    <w:name w:val="tw4winInternal"/>
    <w:rPr>
      <w:color w:val="FF0000"/>
      <w:lang w:val="cs-CZ"/>
    </w:rPr>
  </w:style>
  <w:style w:type="character" w:customStyle="1" w:styleId="DONOTTRANSLATE">
    <w:name w:val="DO_NOT_TRANSLATE"/>
    <w:rPr>
      <w:color w:val="800000"/>
      <w:lang w:val="cs-CZ"/>
    </w:rPr>
  </w:style>
  <w:style w:type="character" w:customStyle="1" w:styleId="ZkladntextChar">
    <w:name w:val="Základní text Char"/>
    <w:rPr>
      <w:sz w:val="24"/>
      <w:lang w:val="fr-FR" w:eastAsia="ar-SA" w:bidi="ar-SA"/>
    </w:rPr>
  </w:style>
  <w:style w:type="character" w:customStyle="1" w:styleId="Odkaznakoment1">
    <w:name w:val="Odkaz na komentář1"/>
    <w:rPr>
      <w:sz w:val="16"/>
      <w:szCs w:val="16"/>
    </w:rPr>
  </w:style>
  <w:style w:type="character" w:customStyle="1" w:styleId="TextkomenteChar">
    <w:name w:val="Text komentáře Char"/>
    <w:rPr>
      <w:lang w:val="fr-FR"/>
    </w:rPr>
  </w:style>
  <w:style w:type="character" w:customStyle="1" w:styleId="PedmtkomenteChar">
    <w:name w:val="Předmět komentáře Char"/>
    <w:rPr>
      <w:b/>
      <w:bCs/>
      <w:lang w:val="fr-FR"/>
    </w:rPr>
  </w:style>
  <w:style w:type="character" w:customStyle="1" w:styleId="TextvysvtlivekChar">
    <w:name w:val="Text vysvětlivek Char"/>
    <w:rPr>
      <w:lang w:val="fr-FR"/>
    </w:rPr>
  </w:style>
  <w:style w:type="character" w:customStyle="1" w:styleId="EndnoteCharacters">
    <w:name w:val="Endnote Characters"/>
    <w:rPr>
      <w:vertAlign w:val="superscript"/>
    </w:rPr>
  </w:style>
  <w:style w:type="character" w:customStyle="1" w:styleId="paragraphChar">
    <w:name w:val="paragraph Char"/>
    <w:rPr>
      <w:sz w:val="24"/>
      <w:szCs w:val="24"/>
    </w:rPr>
  </w:style>
  <w:style w:type="character" w:customStyle="1" w:styleId="TextpoznpodarouChar">
    <w:name w:val="Text pozn. pod čarou Char"/>
    <w:rPr>
      <w:lang w:val="fr-FR"/>
    </w:rPr>
  </w:style>
  <w:style w:type="character" w:customStyle="1" w:styleId="Zkladntextodsazen3Char">
    <w:name w:val="Základní text odsazený 3 Char"/>
    <w:rPr>
      <w:sz w:val="16"/>
      <w:szCs w:val="16"/>
      <w:lang w:val="fr-FR"/>
    </w:rPr>
  </w:style>
  <w:style w:type="character" w:customStyle="1" w:styleId="Zkladntextodsazen2Char">
    <w:name w:val="Základní text odsazený 2 Char"/>
    <w:rPr>
      <w:lang w:val="fr-FR"/>
    </w:rPr>
  </w:style>
  <w:style w:type="character" w:styleId="Znakapoznpodarou">
    <w:name w:val="footnote reference"/>
    <w:rPr>
      <w:vertAlign w:val="superscript"/>
    </w:rPr>
  </w:style>
  <w:style w:type="character" w:styleId="Odkaznavysvtlivky">
    <w:name w:val="endnote reference"/>
    <w:rPr>
      <w:vertAlign w:val="superscript"/>
    </w:rPr>
  </w:style>
  <w:style w:type="paragraph" w:customStyle="1" w:styleId="Heading">
    <w:name w:val="Heading"/>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rPr>
  </w:style>
  <w:style w:type="paragraph" w:styleId="Seznam">
    <w:name w:val="List"/>
    <w:basedOn w:val="Zkladntext"/>
    <w:rPr>
      <w:rFonts w:cs="Mangal"/>
    </w:rPr>
  </w:style>
  <w:style w:type="paragraph" w:customStyle="1" w:styleId="Titulek1">
    <w:name w:val="Titulek1"/>
    <w:basedOn w:val="Normln"/>
    <w:pPr>
      <w:suppressLineNumbers/>
      <w:spacing w:before="120" w:after="120"/>
    </w:pPr>
    <w:rPr>
      <w:rFonts w:cs="Mangal"/>
      <w:i/>
      <w:iCs/>
      <w:sz w:val="24"/>
      <w:szCs w:val="24"/>
    </w:rPr>
  </w:style>
  <w:style w:type="paragraph" w:customStyle="1" w:styleId="Index">
    <w:name w:val="Index"/>
    <w:basedOn w:val="Normln"/>
    <w:pPr>
      <w:suppressLineNumbers/>
    </w:pPr>
    <w:rPr>
      <w:rFonts w:cs="Mangal"/>
    </w:rPr>
  </w:style>
  <w:style w:type="paragraph" w:customStyle="1" w:styleId="Text1">
    <w:name w:val="Text 1"/>
    <w:basedOn w:val="Normln"/>
    <w:pPr>
      <w:spacing w:after="240"/>
      <w:ind w:left="483"/>
      <w:jc w:val="both"/>
    </w:pPr>
    <w:rPr>
      <w:sz w:val="24"/>
    </w:rPr>
  </w:style>
  <w:style w:type="paragraph" w:customStyle="1" w:styleId="Text2">
    <w:name w:val="Text 2"/>
    <w:basedOn w:val="Normln"/>
    <w:pPr>
      <w:tabs>
        <w:tab w:val="left" w:pos="2161"/>
      </w:tabs>
      <w:spacing w:after="240"/>
      <w:ind w:left="1077"/>
      <w:jc w:val="both"/>
    </w:pPr>
    <w:rPr>
      <w:sz w:val="24"/>
    </w:rPr>
  </w:style>
  <w:style w:type="paragraph" w:customStyle="1" w:styleId="Text3">
    <w:name w:val="Text 3"/>
    <w:basedOn w:val="Normln"/>
    <w:pPr>
      <w:tabs>
        <w:tab w:val="left" w:pos="2302"/>
      </w:tabs>
      <w:spacing w:after="240"/>
      <w:ind w:left="1917"/>
      <w:jc w:val="both"/>
    </w:pPr>
    <w:rPr>
      <w:sz w:val="24"/>
    </w:rPr>
  </w:style>
  <w:style w:type="paragraph" w:customStyle="1" w:styleId="Text4">
    <w:name w:val="Text 4"/>
    <w:basedOn w:val="Normln"/>
    <w:pPr>
      <w:spacing w:after="240"/>
      <w:ind w:left="2880"/>
      <w:jc w:val="both"/>
    </w:pPr>
    <w:rPr>
      <w:sz w:val="24"/>
    </w:rPr>
  </w:style>
  <w:style w:type="paragraph" w:styleId="Nzev">
    <w:name w:val="Title"/>
    <w:basedOn w:val="Normln"/>
    <w:next w:val="Podnadp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next w:val="Zkladn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Textpoznpodarou">
    <w:name w:val="footnote text"/>
    <w:basedOn w:val="Normln"/>
    <w:pPr>
      <w:spacing w:after="240"/>
      <w:ind w:left="357" w:hanging="357"/>
      <w:jc w:val="both"/>
    </w:pPr>
  </w:style>
  <w:style w:type="paragraph" w:styleId="Zhlav">
    <w:name w:val="header"/>
    <w:basedOn w:val="Normln"/>
    <w:pPr>
      <w:tabs>
        <w:tab w:val="center" w:pos="4153"/>
        <w:tab w:val="right" w:pos="8306"/>
      </w:tabs>
      <w:spacing w:after="240"/>
      <w:jc w:val="both"/>
    </w:pPr>
    <w:rPr>
      <w:sz w:val="24"/>
    </w:rPr>
  </w:style>
  <w:style w:type="paragraph" w:styleId="Zpat">
    <w:name w:val="footer"/>
    <w:basedOn w:val="Normln"/>
    <w:pPr>
      <w:tabs>
        <w:tab w:val="center" w:pos="4153"/>
        <w:tab w:val="right" w:pos="8306"/>
      </w:tabs>
    </w:pPr>
  </w:style>
  <w:style w:type="paragraph" w:customStyle="1" w:styleId="Blockquote">
    <w:name w:val="Blockquote"/>
    <w:basedOn w:val="Normln"/>
    <w:pPr>
      <w:spacing w:before="100" w:after="100"/>
      <w:ind w:left="360" w:right="360"/>
    </w:pPr>
    <w:rPr>
      <w:sz w:val="24"/>
      <w:lang w:val="fr-BE"/>
    </w:rPr>
  </w:style>
  <w:style w:type="paragraph" w:customStyle="1" w:styleId="ZCom">
    <w:name w:val="Z_Com"/>
    <w:basedOn w:val="Normln"/>
    <w:next w:val="Normln"/>
    <w:pPr>
      <w:widowControl w:val="0"/>
      <w:ind w:right="85"/>
      <w:jc w:val="both"/>
    </w:pPr>
    <w:rPr>
      <w:rFonts w:ascii="Arial" w:hAnsi="Arial" w:cs="Arial"/>
      <w:sz w:val="24"/>
      <w:lang w:val="en-GB"/>
    </w:rPr>
  </w:style>
  <w:style w:type="paragraph" w:customStyle="1" w:styleId="Rozloendokumentu1">
    <w:name w:val="Rozložení dokumentu1"/>
    <w:basedOn w:val="Normln"/>
    <w:pPr>
      <w:shd w:val="clear" w:color="auto" w:fill="000080"/>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vysvtlivek">
    <w:name w:val="endnote text"/>
    <w:basedOn w:val="Normln"/>
  </w:style>
  <w:style w:type="paragraph" w:customStyle="1" w:styleId="Barevnseznamzvraznn11">
    <w:name w:val="Barevný seznam – zvýraznění 11"/>
    <w:basedOn w:val="Normln"/>
    <w:pPr>
      <w:ind w:left="720"/>
    </w:pPr>
    <w:rPr>
      <w:rFonts w:ascii="Calibri" w:eastAsia="SimSun" w:hAnsi="Calibri" w:cs="Calibri"/>
      <w:sz w:val="22"/>
      <w:szCs w:val="22"/>
      <w:lang w:val="en-GB"/>
    </w:rPr>
  </w:style>
  <w:style w:type="paragraph" w:customStyle="1" w:styleId="articletitle">
    <w:name w:val="article title"/>
    <w:basedOn w:val="Normln"/>
    <w:pPr>
      <w:numPr>
        <w:numId w:val="2"/>
      </w:numPr>
      <w:spacing w:after="200" w:line="276" w:lineRule="auto"/>
      <w:ind w:left="357" w:hanging="357"/>
    </w:pPr>
    <w:rPr>
      <w:rFonts w:eastAsia="Calibri"/>
      <w:b/>
      <w:sz w:val="24"/>
      <w:szCs w:val="24"/>
      <w:lang w:val="en-GB"/>
    </w:rPr>
  </w:style>
  <w:style w:type="paragraph" w:customStyle="1" w:styleId="paragraph">
    <w:name w:val="paragraph"/>
    <w:basedOn w:val="Normln"/>
    <w:pPr>
      <w:numPr>
        <w:numId w:val="5"/>
      </w:numPr>
      <w:ind w:left="567" w:hanging="567"/>
      <w:jc w:val="both"/>
    </w:pPr>
    <w:rPr>
      <w:sz w:val="24"/>
      <w:szCs w:val="24"/>
      <w:lang w:val="x-none"/>
    </w:rPr>
  </w:style>
  <w:style w:type="paragraph" w:customStyle="1" w:styleId="Barevnstnovnzvraznn11">
    <w:name w:val="Barevné stínování – zvýraznění 11"/>
    <w:pPr>
      <w:suppressAutoHyphens/>
    </w:pPr>
    <w:rPr>
      <w:lang w:val="fr-FR" w:eastAsia="ar-SA"/>
    </w:rPr>
  </w:style>
  <w:style w:type="paragraph" w:customStyle="1" w:styleId="Zkladntextodsazen31">
    <w:name w:val="Základní text odsazený 31"/>
    <w:basedOn w:val="Normln"/>
    <w:pPr>
      <w:spacing w:after="120"/>
      <w:ind w:left="283"/>
    </w:pPr>
    <w:rPr>
      <w:sz w:val="16"/>
      <w:szCs w:val="16"/>
    </w:rPr>
  </w:style>
  <w:style w:type="paragraph" w:customStyle="1" w:styleId="Zkladntext21">
    <w:name w:val="Základní text 21"/>
    <w:basedOn w:val="Normln"/>
    <w:pPr>
      <w:keepLines/>
      <w:spacing w:before="120" w:after="120"/>
      <w:ind w:left="357" w:hanging="357"/>
    </w:pPr>
    <w:rPr>
      <w:lang w:val="cs-CZ"/>
    </w:rPr>
  </w:style>
  <w:style w:type="paragraph" w:styleId="Odstavecseseznamem">
    <w:name w:val="List Paragraph"/>
    <w:basedOn w:val="Normln"/>
    <w:qFormat/>
    <w:pPr>
      <w:ind w:left="720"/>
    </w:pPr>
  </w:style>
  <w:style w:type="paragraph" w:customStyle="1" w:styleId="Zkladntextodsazen21">
    <w:name w:val="Základní text odsazený 21"/>
    <w:basedOn w:val="Normln"/>
    <w:pPr>
      <w:spacing w:after="120" w:line="480" w:lineRule="auto"/>
      <w:ind w:left="283"/>
    </w:pPr>
  </w:style>
  <w:style w:type="paragraph" w:customStyle="1" w:styleId="Zkladntext22">
    <w:name w:val="Základní text 22"/>
    <w:basedOn w:val="Normln"/>
    <w:pPr>
      <w:keepLines/>
      <w:numPr>
        <w:numId w:val="6"/>
      </w:numPr>
      <w:spacing w:before="120" w:after="120"/>
      <w:ind w:left="357" w:hanging="357"/>
    </w:pPr>
    <w:rPr>
      <w:lang w:val="cs-CZ"/>
    </w:rPr>
  </w:style>
  <w:style w:type="paragraph" w:customStyle="1" w:styleId="Framecontents">
    <w:name w:val="Frame contents"/>
    <w:basedOn w:val="Zkladn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3444">
      <w:bodyDiv w:val="1"/>
      <w:marLeft w:val="0"/>
      <w:marRight w:val="0"/>
      <w:marTop w:val="0"/>
      <w:marBottom w:val="0"/>
      <w:divBdr>
        <w:top w:val="none" w:sz="0" w:space="0" w:color="auto"/>
        <w:left w:val="none" w:sz="0" w:space="0" w:color="auto"/>
        <w:bottom w:val="none" w:sz="0" w:space="0" w:color="auto"/>
        <w:right w:val="none" w:sz="0" w:space="0" w:color="auto"/>
      </w:divBdr>
    </w:div>
    <w:div w:id="20769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rka@zapletalovi.com"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ro.upol.cz/"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rasmusplus.upol.cz"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iro.upol.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ro.upol.cz/"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8DB8-C197-446B-93AC-1CE46313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11320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Annex V</vt:lpstr>
    </vt:vector>
  </TitlesOfParts>
  <Company>Microsoft</Company>
  <LinksUpToDate>false</LinksUpToDate>
  <CharactersWithSpaces>13212</CharactersWithSpaces>
  <SharedDoc>false</SharedDoc>
  <HLinks>
    <vt:vector size="24" baseType="variant">
      <vt:variant>
        <vt:i4>6488179</vt:i4>
      </vt:variant>
      <vt:variant>
        <vt:i4>9</vt:i4>
      </vt:variant>
      <vt:variant>
        <vt:i4>0</vt:i4>
      </vt:variant>
      <vt:variant>
        <vt:i4>5</vt:i4>
      </vt:variant>
      <vt:variant>
        <vt:lpwstr>http://www.iro.upol.cz/</vt:lpwstr>
      </vt:variant>
      <vt:variant>
        <vt:lpwstr/>
      </vt:variant>
      <vt:variant>
        <vt:i4>1900586</vt:i4>
      </vt:variant>
      <vt:variant>
        <vt:i4>6</vt:i4>
      </vt:variant>
      <vt:variant>
        <vt:i4>0</vt:i4>
      </vt:variant>
      <vt:variant>
        <vt:i4>5</vt:i4>
      </vt:variant>
      <vt:variant>
        <vt:lpwstr>mailto:jirka@zapletalovi.com</vt:lpwstr>
      </vt:variant>
      <vt:variant>
        <vt:lpwstr/>
      </vt:variant>
      <vt:variant>
        <vt:i4>6488179</vt:i4>
      </vt:variant>
      <vt:variant>
        <vt:i4>3</vt:i4>
      </vt:variant>
      <vt:variant>
        <vt:i4>0</vt:i4>
      </vt:variant>
      <vt:variant>
        <vt:i4>5</vt:i4>
      </vt:variant>
      <vt:variant>
        <vt:lpwstr>http://www.iro.upol.cz/</vt:lpwstr>
      </vt:variant>
      <vt:variant>
        <vt:lpwstr/>
      </vt:variant>
      <vt:variant>
        <vt:i4>6488179</vt:i4>
      </vt:variant>
      <vt:variant>
        <vt:i4>0</vt:i4>
      </vt:variant>
      <vt:variant>
        <vt:i4>0</vt:i4>
      </vt:variant>
      <vt:variant>
        <vt:i4>5</vt:i4>
      </vt:variant>
      <vt:variant>
        <vt:lpwstr>http://www.iro.upol.cz/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Hanicakova Lenka</cp:lastModifiedBy>
  <cp:revision>2</cp:revision>
  <cp:lastPrinted>2019-07-02T09:06:00Z</cp:lastPrinted>
  <dcterms:created xsi:type="dcterms:W3CDTF">2019-11-28T14:54:00Z</dcterms:created>
  <dcterms:modified xsi:type="dcterms:W3CDTF">2019-11-28T14:54:00Z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